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9F" w:rsidRDefault="00132E2F" w:rsidP="00D22A8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8" o:spid="_x0000_s1026" type="#_x0000_t202" style="position:absolute;margin-left:-6.8pt;margin-top:-47.95pt;width:769.75pt;height:525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" fillcolor="white [3201]" stroked="f" strokeweight=".5pt">
            <v:textbox>
              <w:txbxContent>
                <w:p w:rsidR="0043028C" w:rsidRDefault="00923034">
                  <w:r>
                    <w:rPr>
                      <w:noProof/>
                    </w:rPr>
                    <w:drawing>
                      <wp:inline distT="0" distB="0" distL="0" distR="0">
                        <wp:extent cx="8900160" cy="6406896"/>
                        <wp:effectExtent l="0" t="0" r="0" b="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lika16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00160" cy="6406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Tekstni okvir 7" o:spid="_x0000_s1027" type="#_x0000_t202" style="position:absolute;margin-left:0;margin-top:-50.5pt;width:756.75pt;height:528.75pt;z-index:25166131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" fillcolor="white [3201]" stroked="f" strokeweight=".5pt">
            <v:textbox>
              <w:txbxContent>
                <w:p w:rsidR="00651701" w:rsidRDefault="00651701"/>
              </w:txbxContent>
            </v:textbox>
            <w10:wrap anchorx="margin"/>
          </v:shape>
        </w:pict>
      </w:r>
      <w:r>
        <w:rPr>
          <w:noProof/>
        </w:rPr>
        <w:pict>
          <v:shape id="Tekstni okvir 3" o:spid="_x0000_s1028" type="#_x0000_t202" style="position:absolute;margin-left:-31.1pt;margin-top:-48.35pt;width:765.75pt;height:49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<v:textbox>
              <w:txbxContent>
                <w:p w:rsidR="00651701" w:rsidRDefault="00651701"/>
              </w:txbxContent>
            </v:textbox>
          </v:shape>
        </w:pic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ListTable6ColorfulAccent5"/>
        <w:tblpPr w:leftFromText="180" w:rightFromText="180" w:vertAnchor="text" w:horzAnchor="margin" w:tblpXSpec="center" w:tblpY="-612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4059"/>
        <w:gridCol w:w="7281"/>
      </w:tblGrid>
      <w:tr w:rsidR="006B1555" w:rsidRPr="00846C83" w:rsidTr="004729A7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rujan</w:t>
            </w:r>
          </w:p>
        </w:tc>
      </w:tr>
      <w:tr w:rsidR="00D552D1" w:rsidRPr="00846C83" w:rsidTr="004729A7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D552D1" w:rsidRPr="00846C83" w:rsidRDefault="006B1555" w:rsidP="006B1555">
            <w:pPr>
              <w:spacing w:before="120" w:after="120"/>
              <w:ind w:left="170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4059" w:type="dxa"/>
            <w:shd w:val="clear" w:color="auto" w:fill="0070C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281" w:type="dxa"/>
            <w:shd w:val="clear" w:color="auto" w:fill="0070C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170590" w:rsidRPr="00846C83" w:rsidTr="004729A7">
        <w:trPr>
          <w:trHeight w:val="5108"/>
        </w:trPr>
        <w:tc>
          <w:tcPr>
            <w:cnfStyle w:val="001000000000"/>
            <w:tcW w:w="3874" w:type="dxa"/>
          </w:tcPr>
          <w:p w:rsidR="00170590" w:rsidRPr="00846C83" w:rsidRDefault="00170590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lastRenderedPageBreak/>
              <w:t>ustrojiti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uključiti nove učenike u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uspostaviti novi Dnevnik rada i Imenik učenika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prikupiti privole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1. roditeljski sastanak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170590" w:rsidRPr="00846C83" w:rsidRDefault="00170590" w:rsidP="006B1555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:rsidR="004729A7" w:rsidRPr="004729A7" w:rsidRDefault="004729A7" w:rsidP="004729A7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1. Obveze na početku školske godine, kućni red</w:t>
            </w:r>
          </w:p>
          <w:p w:rsidR="004729A7" w:rsidRPr="004729A7" w:rsidRDefault="004729A7" w:rsidP="004729A7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sv-SE"/>
              </w:rPr>
              <w:t>3. Izbor za predsjednika razreda i vijeće učenika</w:t>
            </w:r>
          </w:p>
          <w:p w:rsidR="00170590" w:rsidRPr="00846C83" w:rsidRDefault="004729A7" w:rsidP="004729A7">
            <w:pPr>
              <w:pStyle w:val="ListParagraph"/>
              <w:spacing w:before="120"/>
              <w:ind w:left="113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sv-SE"/>
              </w:rPr>
              <w:t xml:space="preserve">4. </w:t>
            </w:r>
            <w:proofErr w:type="spellStart"/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it-IT"/>
              </w:rPr>
              <w:t>Donošenje</w:t>
            </w:r>
            <w:proofErr w:type="spellEnd"/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it-IT"/>
              </w:rPr>
              <w:t>razrednih</w:t>
            </w:r>
            <w:proofErr w:type="spellEnd"/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it-IT"/>
              </w:rPr>
              <w:t>pravila</w:t>
            </w:r>
            <w:proofErr w:type="spellEnd"/>
          </w:p>
        </w:tc>
        <w:tc>
          <w:tcPr>
            <w:tcW w:w="7281" w:type="dxa"/>
            <w:shd w:val="clear" w:color="auto" w:fill="FFFFFF" w:themeFill="background1"/>
          </w:tcPr>
          <w:p w:rsidR="00BF5634" w:rsidRPr="004729A7" w:rsidRDefault="00BF5634" w:rsidP="00BF56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BF5634" w:rsidRPr="00BF5634" w:rsidRDefault="00246CFB" w:rsidP="00607AD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A.3.2.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upravlja emocijama i ponašanjem</w:t>
            </w:r>
          </w:p>
          <w:p w:rsidR="00BF5634" w:rsidRPr="00ED355C" w:rsidRDefault="00246CFB" w:rsidP="00ED355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3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osobne potencijale</w:t>
            </w:r>
            <w:r w:rsidRPr="00B9041D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ED355C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ED355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planira korake radi unapređenja ponašanja u skladu sa svojim interesima i očekivanjima</w:t>
            </w:r>
          </w:p>
          <w:p w:rsidR="00BF5634" w:rsidRPr="00BF5634" w:rsidRDefault="00246CFB" w:rsidP="00607AD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B.3.1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obrazlaže i uvažava potrebe i osjećaje drugih</w:t>
            </w:r>
          </w:p>
          <w:p w:rsidR="00B9041D" w:rsidRDefault="00246CFB" w:rsidP="00B9041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komunikacijske kompetencije i uvažavajuće odnose s drugima</w:t>
            </w:r>
          </w:p>
          <w:p w:rsidR="00BF5634" w:rsidRPr="004729A7" w:rsidRDefault="00BF5634" w:rsidP="00BF56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>Građanski odgoj</w:t>
            </w:r>
          </w:p>
          <w:p w:rsidR="00BF5634" w:rsidRPr="00246CFB" w:rsidRDefault="00246CFB" w:rsidP="00607AD5">
            <w:pPr>
              <w:pStyle w:val="NoSpacing"/>
              <w:numPr>
                <w:ilvl w:val="0"/>
                <w:numId w:val="6"/>
              </w:numPr>
              <w:cnfStyle w:val="00000000000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proofErr w:type="gram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proofErr w:type="gram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sudjeluje u odlučivanju u demokratskoj zajednici</w:t>
            </w:r>
          </w:p>
          <w:p w:rsidR="00AF145E" w:rsidRPr="00ED355C" w:rsidRDefault="00246CFB" w:rsidP="00ED355C">
            <w:pPr>
              <w:pStyle w:val="NoSpacing"/>
              <w:numPr>
                <w:ilvl w:val="0"/>
                <w:numId w:val="6"/>
              </w:numPr>
              <w:cnfStyle w:val="00000000000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proofErr w:type="gram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proofErr w:type="gram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C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doprinosi društvenoj solidarnosti</w:t>
            </w:r>
            <w:r w:rsidR="00ED355C" w:rsidRPr="00ED355C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D355C" w:rsidRPr="00ED355C">
              <w:rPr>
                <w:rFonts w:cs="Calibri"/>
                <w:color w:val="000000" w:themeColor="text1"/>
                <w:sz w:val="18"/>
                <w:szCs w:val="18"/>
                <w:lang w:val="hr-HR"/>
              </w:rPr>
              <w:t>–</w:t>
            </w:r>
            <w:r w:rsidR="00ED355C"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BF5634" w:rsidRPr="00ED355C">
              <w:rPr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pokazuje privrženost uzajamnom razumijevanju, poštovanju, suradnji i solidarnosti na razini </w:t>
            </w:r>
            <w:r w:rsidR="00BF5634" w:rsidRPr="00ED355C">
              <w:rPr>
                <w:color w:val="231F20"/>
                <w:sz w:val="18"/>
                <w:szCs w:val="18"/>
                <w:shd w:val="clear" w:color="auto" w:fill="FFFFFF"/>
                <w:lang w:val="hr-HR"/>
              </w:rPr>
              <w:t>razreda, škole, obitelji i društva u cjelini</w:t>
            </w:r>
          </w:p>
          <w:p w:rsidR="00AF145E" w:rsidRPr="004729A7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Učiti kako učiti </w:t>
            </w:r>
          </w:p>
          <w:p w:rsidR="00AF145E" w:rsidRPr="00DF6807" w:rsidRDefault="00DF6807" w:rsidP="00DF6807">
            <w:pPr>
              <w:pStyle w:val="NoSpacing"/>
              <w:numPr>
                <w:ilvl w:val="0"/>
                <w:numId w:val="6"/>
              </w:numPr>
              <w:cnfStyle w:val="000000000000"/>
              <w:rPr>
                <w:rStyle w:val="SubtleEmphasis"/>
                <w:b/>
                <w:iCs w:val="0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proofErr w:type="gram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proofErr w:type="gram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A.3.3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samostalno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oblikuje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svoje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ideje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 kreativno pristupa rješavanju problema</w:t>
            </w:r>
          </w:p>
          <w:p w:rsidR="00AF145E" w:rsidRPr="00DF6807" w:rsidRDefault="00AF145E" w:rsidP="00DF6807">
            <w:pPr>
              <w:pStyle w:val="NormalWeb"/>
              <w:spacing w:before="240" w:beforeAutospacing="0" w:after="24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46CFB">
              <w:rPr>
                <w:rFonts w:ascii="Calibri" w:hAnsi="Calibri" w:cs="Calibri"/>
                <w:b/>
                <w:color w:val="0070C0"/>
                <w:sz w:val="20"/>
              </w:rPr>
              <w:t>Upo</w:t>
            </w: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>ra</w:t>
            </w:r>
            <w:r w:rsidRPr="00246CFB">
              <w:rPr>
                <w:rFonts w:ascii="Calibri" w:hAnsi="Calibri" w:cs="Calibri"/>
                <w:b/>
                <w:color w:val="0070C0"/>
                <w:sz w:val="20"/>
              </w:rPr>
              <w:t>ba</w:t>
            </w: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 informacijsko-komunikacijske tehnologije</w:t>
            </w:r>
          </w:p>
          <w:p w:rsidR="00AF145E" w:rsidRPr="005708BF" w:rsidRDefault="00DF6807" w:rsidP="00607A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i w:val="0"/>
                <w:sz w:val="18"/>
                <w:szCs w:val="18"/>
              </w:rPr>
            </w:pPr>
            <w:proofErr w:type="spell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D.3.4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AF145E" w:rsidRPr="00BF5634" w:rsidRDefault="00AF145E" w:rsidP="00AF145E">
            <w:pPr>
              <w:pStyle w:val="NoSpacing"/>
              <w:ind w:left="360"/>
              <w:cnfStyle w:val="000000000000"/>
              <w:rPr>
                <w:b/>
                <w:color w:val="000000" w:themeColor="text1"/>
                <w:sz w:val="18"/>
              </w:rPr>
            </w:pPr>
          </w:p>
        </w:tc>
      </w:tr>
      <w:tr w:rsidR="00471DA4" w:rsidRPr="00846C83" w:rsidTr="004729A7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6B1555">
            <w:pPr>
              <w:spacing w:before="120" w:after="48"/>
              <w:ind w:left="113"/>
              <w:textAlignment w:val="baseline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8. rujna - Međunarodni dan pismenosti • 10. rujna - Svjetski dan prevencije samoubojstava • 15. rujna - Međunarodni dan demokracije • 16. rujna - Međunarodni dan zaštite ozonskog sloja • 21. rujna - Međunarodni dan mira • 22. rujna - Europski dan bez automobila - Europska komisija • 26. rujna - Europski dan jezika - Vijeće Europe • 27. rujna - Svjetski dan turizma - WTO • 28. rujna - Svjetski dan bjesnoće • 28. rujna - Svjetski dan srca • dan u posljednjem tjednu - odabire država - Svjetski dan pomorstva</w:t>
            </w:r>
          </w:p>
        </w:tc>
      </w:tr>
    </w:tbl>
    <w:p w:rsidR="00471DA4" w:rsidRDefault="00471DA4" w:rsidP="00D22A8F">
      <w:pPr>
        <w:rPr>
          <w:color w:val="987200" w:themeColor="accent5" w:themeShade="BF"/>
        </w:rPr>
      </w:pPr>
    </w:p>
    <w:p w:rsidR="00246CFB" w:rsidRDefault="00246CFB">
      <w:pPr>
        <w:spacing w:after="160" w:line="259" w:lineRule="auto"/>
        <w:rPr>
          <w:color w:val="987200" w:themeColor="accent5" w:themeShade="BF"/>
        </w:rPr>
      </w:pPr>
      <w:r>
        <w:rPr>
          <w:color w:val="987200" w:themeColor="accent5" w:themeShade="BF"/>
        </w:rP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6B1555" w:rsidRPr="00846C83" w:rsidTr="002C4F96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listopad</w:t>
            </w:r>
          </w:p>
        </w:tc>
      </w:tr>
      <w:tr w:rsidR="000F1AC7" w:rsidRPr="00846C83" w:rsidTr="002C4F96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0F1AC7" w:rsidRPr="00846C83" w:rsidRDefault="006B1555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352AA" w:rsidRPr="00846C83" w:rsidTr="002C4F96">
        <w:trPr>
          <w:trHeight w:val="3328"/>
        </w:trPr>
        <w:tc>
          <w:tcPr>
            <w:cnfStyle w:val="001000000000"/>
            <w:tcW w:w="3874" w:type="dxa"/>
          </w:tcPr>
          <w:p w:rsidR="008352AA" w:rsidRPr="00846C83" w:rsidRDefault="008352A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  <w:t xml:space="preserve">razgovarati s roditeljima na individualnim susretima, pružati podršku roditeljima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Dječji tjedan raznolikim aktivnostima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kruha – zahvalnost za plodove zemlje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spacing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odabrati i dogovoriti plan ostvarivanja zajedničkoga razrednog projekta</w:t>
            </w:r>
          </w:p>
        </w:tc>
        <w:tc>
          <w:tcPr>
            <w:tcW w:w="3918" w:type="dxa"/>
            <w:shd w:val="clear" w:color="auto" w:fill="FFFFFF" w:themeFill="background1"/>
          </w:tcPr>
          <w:p w:rsidR="002C4F96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 w:cs="Arial"/>
                <w:b/>
                <w:color w:val="0070C0"/>
              </w:rPr>
              <w:t>Uspjeh u učenju i vladanju</w:t>
            </w:r>
          </w:p>
          <w:p w:rsidR="00FB5D08" w:rsidRPr="002C4F96" w:rsidRDefault="00FB5D08" w:rsidP="00FB5D08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</w:p>
          <w:p w:rsidR="002C4F96" w:rsidRPr="00FB5D08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/>
                <w:b/>
                <w:color w:val="0070C0"/>
              </w:rPr>
              <w:t>Dan kruha</w:t>
            </w:r>
          </w:p>
          <w:p w:rsidR="00FB5D08" w:rsidRPr="002C4F96" w:rsidRDefault="00FB5D08" w:rsidP="00FB5D08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</w:p>
          <w:p w:rsidR="002C4F96" w:rsidRPr="002C4F96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/>
                <w:b/>
                <w:color w:val="0070C0"/>
              </w:rPr>
            </w:pPr>
            <w:r w:rsidRPr="002C4F96">
              <w:rPr>
                <w:rFonts w:ascii="Calibri" w:hAnsi="Calibri"/>
                <w:b/>
                <w:color w:val="0070C0"/>
              </w:rPr>
              <w:t xml:space="preserve">MENTALNO ZDRAVLJE </w:t>
            </w:r>
            <w:r w:rsidR="0091417B">
              <w:rPr>
                <w:rFonts w:ascii="Calibri" w:hAnsi="Calibri" w:cs="Calibri"/>
                <w:b/>
                <w:color w:val="0070C0"/>
              </w:rPr>
              <w:t>–</w:t>
            </w:r>
            <w:r w:rsidRPr="002C4F96">
              <w:rPr>
                <w:rFonts w:ascii="Calibri" w:hAnsi="Calibri"/>
                <w:b/>
                <w:color w:val="0070C0"/>
              </w:rPr>
              <w:t xml:space="preserve"> UČIM</w:t>
            </w:r>
          </w:p>
          <w:p w:rsidR="002C4F96" w:rsidRDefault="002C4F96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  <w:r w:rsidRPr="002C4F96">
              <w:rPr>
                <w:rFonts w:ascii="Calibri" w:hAnsi="Calibri"/>
                <w:i/>
                <w:color w:val="0070C0"/>
              </w:rPr>
              <w:t>Kvaliteta učenja – prevencija izbjegavanja (obveza, neopravdanog izostajanja)</w:t>
            </w:r>
          </w:p>
          <w:p w:rsidR="00FB5D08" w:rsidRPr="002C4F96" w:rsidRDefault="00FB5D08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</w:p>
          <w:p w:rsidR="002C4F96" w:rsidRDefault="002C4F96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  <w:r>
              <w:rPr>
                <w:rFonts w:ascii="Calibri" w:hAnsi="Calibri"/>
                <w:i/>
                <w:color w:val="0070C0"/>
              </w:rPr>
              <w:t>Vršnjač</w:t>
            </w:r>
            <w:r w:rsidRPr="002C4F96">
              <w:rPr>
                <w:rFonts w:ascii="Calibri" w:hAnsi="Calibri"/>
                <w:i/>
                <w:color w:val="0070C0"/>
              </w:rPr>
              <w:t>ki pritisak i samopoštovanje</w:t>
            </w:r>
          </w:p>
          <w:p w:rsidR="00FB5D08" w:rsidRPr="002C4F96" w:rsidRDefault="00FB5D08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</w:p>
          <w:p w:rsidR="002C4F96" w:rsidRPr="002C4F96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 w:cs="Arial"/>
                <w:b/>
                <w:color w:val="0070C0"/>
              </w:rPr>
              <w:t xml:space="preserve">TJELESNA AKTIVNOST </w:t>
            </w:r>
          </w:p>
          <w:p w:rsidR="002C4F96" w:rsidRPr="002C4F96" w:rsidRDefault="002C4F96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 w:cs="Arial"/>
                <w:i/>
                <w:color w:val="0070C0"/>
              </w:rPr>
            </w:pPr>
            <w:r w:rsidRPr="002C4F96">
              <w:rPr>
                <w:rFonts w:ascii="Calibri" w:hAnsi="Calibri" w:cs="Arial"/>
                <w:i/>
                <w:color w:val="0070C0"/>
              </w:rPr>
              <w:t>Umor i oporavak (radne vještine u službi zdravlja)</w:t>
            </w:r>
          </w:p>
          <w:p w:rsidR="008352AA" w:rsidRPr="00846C83" w:rsidRDefault="008352AA" w:rsidP="00220CA6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45E" w:rsidRPr="002C4F96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C4F96">
              <w:rPr>
                <w:rFonts w:ascii="Calibri" w:hAnsi="Calibri" w:cs="Calibri"/>
                <w:b/>
                <w:color w:val="0070C0"/>
                <w:sz w:val="20"/>
              </w:rPr>
              <w:t xml:space="preserve">Učiti kako učiti </w:t>
            </w:r>
          </w:p>
          <w:p w:rsidR="00AF145E" w:rsidRPr="00EA7FEC" w:rsidRDefault="00EA7FEC" w:rsidP="00EA7FE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proofErr w:type="spellStart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</w:t>
            </w:r>
            <w:proofErr w:type="spellEnd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 xml:space="preserve">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u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čenik samostalno oblikuje svoje ideje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kreativno pristupa rješavanju problema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otvoren je raznolikim (novim) idejama i pristupima, osm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išljava ih, povezuje i iskušava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,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fleksibilno kombinira različite ideje, sadržaje, pristupe</w:t>
            </w:r>
          </w:p>
          <w:p w:rsidR="008352AA" w:rsidRPr="00EA7FEC" w:rsidRDefault="00EA7FEC" w:rsidP="00EA7FEC">
            <w:pPr>
              <w:pStyle w:val="ListParagraph"/>
              <w:numPr>
                <w:ilvl w:val="0"/>
                <w:numId w:val="9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proofErr w:type="spellStart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uku</w:t>
            </w:r>
            <w:proofErr w:type="spellEnd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A.3.2.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u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čenik se koristi različitim strategijama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učenja i primjenjuje ih u ostvarivanju ciljeva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učenja i rješavanju problema u svim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područjima učenja uz povremeno praćenje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učitelja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vodi svoje bilješke tijekom učenja ili praćenja izlaganja (izdvaja ključne pojmove)</w:t>
            </w:r>
          </w:p>
          <w:p w:rsidR="00AF145E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C4F96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FB5D08" w:rsidRPr="0091417B" w:rsidRDefault="00ED355C" w:rsidP="0091417B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B.3.2.A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j razvojnih promjena na emocije;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B.3.2.B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stres kao važan čimbenik u narušavanju mentalnoga zdravlja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;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B.3.2.C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i objašnjava svoje osobne i socijalne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– </w:t>
            </w:r>
            <w:r w:rsidR="00FB5D08" w:rsidRPr="0091417B">
              <w:rPr>
                <w:rFonts w:asciiTheme="minorHAnsi" w:hAnsiTheme="minorHAnsi" w:cstheme="minorHAnsi"/>
                <w:color w:val="231F20"/>
                <w:sz w:val="18"/>
              </w:rPr>
              <w:t>prihvaća svoju osobnost i gradi svoj identitet</w:t>
            </w:r>
            <w:r w:rsidR="0091417B" w:rsidRPr="0091417B">
              <w:rPr>
                <w:rFonts w:asciiTheme="minorHAnsi" w:hAnsiTheme="minorHAnsi" w:cstheme="minorHAnsi"/>
                <w:color w:val="231F20"/>
                <w:sz w:val="18"/>
              </w:rPr>
              <w:t xml:space="preserve">; </w:t>
            </w:r>
            <w:r w:rsidR="00FB5D08" w:rsidRPr="0091417B">
              <w:rPr>
                <w:rFonts w:asciiTheme="minorHAnsi" w:hAnsiTheme="minorHAnsi" w:cstheme="minorHAnsi"/>
                <w:color w:val="231F20"/>
                <w:sz w:val="18"/>
              </w:rPr>
              <w:t>stvara zdrave socijalne odnose te postiže dobru socijalnu integraciju</w:t>
            </w:r>
          </w:p>
          <w:p w:rsidR="00FB5D08" w:rsidRPr="004729A7" w:rsidRDefault="00FB5D08" w:rsidP="00FB5D08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AF145E" w:rsidRPr="00EA7FEC" w:rsidRDefault="00EA7FEC" w:rsidP="00EA7FEC">
            <w:pPr>
              <w:pStyle w:val="ListParagraph"/>
              <w:numPr>
                <w:ilvl w:val="0"/>
                <w:numId w:val="34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r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azvija osobne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color w:val="231F20"/>
                <w:sz w:val="18"/>
              </w:rPr>
              <w:t xml:space="preserve">pojedinac je </w:t>
            </w:r>
            <w:r w:rsidR="00FB5D08" w:rsidRPr="00EA7FEC">
              <w:rPr>
                <w:rFonts w:asciiTheme="minorHAnsi" w:hAnsiTheme="minorHAnsi" w:cstheme="minorHAnsi"/>
                <w:color w:val="231F20"/>
                <w:sz w:val="18"/>
              </w:rPr>
              <w:t>odgovoran za svoje ponašanje</w:t>
            </w:r>
          </w:p>
        </w:tc>
      </w:tr>
      <w:tr w:rsidR="008352AA" w:rsidRPr="00846C83" w:rsidTr="002C4F96">
        <w:trPr>
          <w:cnfStyle w:val="000000100000"/>
          <w:trHeight w:val="1515"/>
        </w:trPr>
        <w:tc>
          <w:tcPr>
            <w:cnfStyle w:val="001000000000"/>
            <w:tcW w:w="3874" w:type="dxa"/>
            <w:shd w:val="clear" w:color="auto" w:fill="E7F9FF"/>
          </w:tcPr>
          <w:p w:rsidR="008352AA" w:rsidRPr="00846C83" w:rsidRDefault="008352AA" w:rsidP="008352AA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4729A7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8352AA" w:rsidRPr="00846C83" w:rsidRDefault="008352AA" w:rsidP="00846C83">
            <w:pPr>
              <w:cnfStyle w:val="00000010000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8352AA" w:rsidRPr="00846C83" w:rsidRDefault="008352AA" w:rsidP="00846C83">
            <w:pPr>
              <w:ind w:left="113"/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1. listopada - Međunarodni dan starijih osoba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2. listopada - Međunarodni dan nenasilja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4. listopada - Svjetski dan zaštite životinja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5. listopada - Svjetski dan učitelja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9. listopada - Svjetski dan pošte 10. listopada - Svjetski dan duševnog zdravlja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15. listopada - Međunarodni dan žena na selu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16. listopada - Svjetski dan hrane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17. listopada - Međunarodni dan borbe protiv siromaštva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24. listopada - Dan Ujedinjenih naroda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27. listopada - Svjetski dan audiovizualne baštine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28. listopada - Svjetski dan animiranog filma - 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International</w:t>
            </w:r>
            <w:proofErr w:type="spellEnd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Animated</w:t>
            </w:r>
            <w:proofErr w:type="spellEnd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Film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Association</w:t>
            </w:r>
            <w:proofErr w:type="spellEnd"/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31. listopada - Svjetski dan štednje</w:t>
            </w:r>
          </w:p>
          <w:p w:rsidR="008352AA" w:rsidRPr="00846C83" w:rsidRDefault="008352AA" w:rsidP="008352AA">
            <w:pPr>
              <w:pStyle w:val="ListParagraph"/>
              <w:spacing w:after="48"/>
              <w:ind w:left="833"/>
              <w:textAlignment w:val="baseline"/>
              <w:cnfStyle w:val="0000001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</w:tbl>
    <w:p w:rsidR="008131CA" w:rsidRDefault="008131CA">
      <w:pPr>
        <w:rPr>
          <w:i/>
        </w:rPr>
      </w:pPr>
    </w:p>
    <w:p w:rsidR="00246CFB" w:rsidRDefault="00246CFB">
      <w:pPr>
        <w:spacing w:after="160" w:line="259" w:lineRule="auto"/>
        <w:rPr>
          <w:i/>
        </w:rPr>
      </w:pPr>
      <w:r>
        <w:rPr>
          <w:i/>
        </w:rP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1B5954" w:rsidRPr="00846C83" w:rsidTr="002C4F96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1B5954" w:rsidRPr="00846C83" w:rsidRDefault="001B5954" w:rsidP="001B5954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studeni</w:t>
            </w:r>
          </w:p>
        </w:tc>
      </w:tr>
      <w:tr w:rsidR="00651701" w:rsidRPr="00846C83" w:rsidTr="002C4F96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B0F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B0F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B0F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46C83" w:rsidRPr="00846C83" w:rsidTr="001F2B47">
        <w:trPr>
          <w:trHeight w:val="3689"/>
        </w:trPr>
        <w:tc>
          <w:tcPr>
            <w:cnfStyle w:val="001000000000"/>
            <w:tcW w:w="3874" w:type="dxa"/>
          </w:tcPr>
          <w:p w:rsidR="00846C83" w:rsidRPr="00846C83" w:rsidRDefault="00846C8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razgovarati s roditeljima na individualnim susretima, pružati podršku roditeljima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2. roditeljski sastanak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prikupiti ponude za dvodnevnu ekskurziju i prezentirati ih roditeljima</w:t>
            </w:r>
          </w:p>
          <w:p w:rsidR="00846C83" w:rsidRPr="00846C83" w:rsidRDefault="00846C83" w:rsidP="001B5954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46C83" w:rsidRDefault="00846C83" w:rsidP="00846C83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2C4F96" w:rsidRDefault="002C4F96" w:rsidP="002C4F96">
            <w:pPr>
              <w:pStyle w:val="Heading1"/>
              <w:numPr>
                <w:ilvl w:val="0"/>
                <w:numId w:val="29"/>
              </w:numPr>
              <w:outlineLvl w:val="0"/>
              <w:cnfStyle w:val="000000000000"/>
              <w:rPr>
                <w:rFonts w:ascii="Calibri" w:hAnsi="Calibri"/>
                <w:b/>
                <w:color w:val="0070C0"/>
                <w:sz w:val="22"/>
                <w:szCs w:val="20"/>
              </w:rPr>
            </w:pPr>
            <w:r w:rsidRPr="002C4F96">
              <w:rPr>
                <w:rFonts w:ascii="Calibri" w:hAnsi="Calibri"/>
                <w:b/>
                <w:color w:val="0070C0"/>
                <w:sz w:val="22"/>
                <w:szCs w:val="20"/>
              </w:rPr>
              <w:t xml:space="preserve">PRVA POMOĆ </w:t>
            </w:r>
          </w:p>
          <w:p w:rsidR="002C4F96" w:rsidRPr="002C4F96" w:rsidRDefault="002C4F96" w:rsidP="002C4F96">
            <w:pPr>
              <w:pStyle w:val="Heading1"/>
              <w:ind w:left="720"/>
              <w:outlineLvl w:val="0"/>
              <w:cnfStyle w:val="000000000000"/>
              <w:rPr>
                <w:rFonts w:ascii="Calibri" w:hAnsi="Calibri"/>
                <w:b/>
                <w:color w:val="0070C0"/>
                <w:sz w:val="22"/>
                <w:szCs w:val="20"/>
              </w:rPr>
            </w:pPr>
            <w:r w:rsidRPr="002C4F96">
              <w:rPr>
                <w:rFonts w:ascii="Calibri" w:hAnsi="Calibri"/>
                <w:b/>
                <w:i/>
                <w:color w:val="0070C0"/>
                <w:sz w:val="22"/>
                <w:szCs w:val="20"/>
              </w:rPr>
              <w:t>Vitalne funkcije organizma; prva pomoć u situacijama kad je ugrožen život – prestanak rada srca, prestanak disanja, krvarenje</w:t>
            </w:r>
          </w:p>
          <w:p w:rsidR="00846C83" w:rsidRPr="00846C83" w:rsidRDefault="00846C83" w:rsidP="002C4F96">
            <w:pPr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D27403" w:rsidRPr="001F2B47" w:rsidRDefault="00D27403" w:rsidP="00D27403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1F2B47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8E31C2" w:rsidRPr="008E31C2" w:rsidRDefault="00EA7FEC" w:rsidP="008E31C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C.3.1.A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kao sudionik prometa poštuje prometna pravila i propise kako bi izbjegao opasnosti; 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C.3.1.B.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obrazlaže potencijalne opasnosti u kućanstvu i okolini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</w:rPr>
              <w:t>prepoznaje i izbjegava potencijalne opasnosti i primjereno se ponaša u tim situacijama</w:t>
            </w:r>
            <w:r w:rsidRPr="00EA7FEC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</w:rPr>
              <w:t>primjenjuje osnovne postupke zaštite i prve pomoći</w:t>
            </w:r>
          </w:p>
          <w:p w:rsidR="001F2B47" w:rsidRPr="008E31C2" w:rsidRDefault="008E31C2" w:rsidP="008E31C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auto"/>
                <w:sz w:val="18"/>
              </w:rPr>
            </w:pP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C.3.2.A 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objašnjava primjenu osnovnih postupaka oživljavanja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C.3.2.B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bjašnjava način pružanja prve pomoći učenicima sa zdravstvenim teškoćama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C.3.2.C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n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abraja vodeće uzroke ob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olijevanja i smrtnosti odraslih;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C.3.2.D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r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azumije važnost pronalaženja vjerodostojnih i pouzdanih informacija o zdravlju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pružanje prve pomoći u situacijama kada je ugrožen život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postupke prve pomoći i pomaganja učenicima kojima je pomoć potrebna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nabraja značajke pouzdanih izvora informacija o zdravlju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postupke prve pomoći i pomaganja učenicima kojima je pomoć potrebna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nabraja značajke pouzdanih izvora informacija o zdravlju</w:t>
            </w:r>
          </w:p>
          <w:p w:rsidR="00D27403" w:rsidRPr="00846C83" w:rsidRDefault="00D27403" w:rsidP="001F2B47">
            <w:pPr>
              <w:pStyle w:val="NoSpacing"/>
              <w:cnfStyle w:val="000000000000"/>
              <w:rPr>
                <w:rFonts w:asciiTheme="minorHAnsi" w:eastAsia="Times New Roman" w:hAnsiTheme="minorHAnsi" w:cstheme="minorHAnsi"/>
                <w:i/>
                <w:sz w:val="20"/>
                <w:szCs w:val="24"/>
                <w:lang w:eastAsia="hr-HR"/>
              </w:rPr>
            </w:pPr>
          </w:p>
        </w:tc>
      </w:tr>
      <w:tr w:rsidR="00471DA4" w:rsidRPr="00846C83" w:rsidTr="002C4F96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C4F96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471DA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6. studenog - Međunarodni dan prevencije izrabljivanja okoliša u vrijeme rata ili oružanog sukoba • 10. studenog - Svjetski dan znanosti za mir i razvoj • 14. studenog - Svjetski dan dijabetesa • 16. studenog - Međunarodni dan tolerancije • 16. studenog - Svjetski dan sjećanja na žrtve trgovine ljudima • 20. studenog - Svjetski dan djece • 21. studenog - Svjetski dan televizije • 25. studenog - Međunarodni dan borbe protiv nasilja nad ženama • posljednja subota - Međunarodni dan bez kupnje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4C3546" w:rsidRPr="00846C83" w:rsidTr="00595FF8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4C3546" w:rsidRPr="00846C83" w:rsidRDefault="004C3546" w:rsidP="004C3546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prosinac</w:t>
            </w:r>
          </w:p>
        </w:tc>
      </w:tr>
      <w:tr w:rsidR="00651701" w:rsidRPr="00846C83" w:rsidTr="00595FF8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413D9" w:rsidRPr="00846C83" w:rsidTr="00595FF8">
        <w:trPr>
          <w:trHeight w:val="3977"/>
        </w:trPr>
        <w:tc>
          <w:tcPr>
            <w:cnfStyle w:val="001000000000"/>
            <w:tcW w:w="3874" w:type="dxa"/>
          </w:tcPr>
          <w:p w:rsidR="007413D9" w:rsidRPr="00846C83" w:rsidRDefault="007413D9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s razrednim odjelom božićni sajam </w:t>
            </w:r>
            <w:r w:rsidR="001F2B47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ili humanitarna akcija za potrebite</w:t>
            </w:r>
          </w:p>
          <w:p w:rsidR="007413D9" w:rsidRPr="00846C83" w:rsidRDefault="007413D9" w:rsidP="007413D9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2C4F96" w:rsidRPr="002C4F96" w:rsidRDefault="002C4F96" w:rsidP="002C4F96">
            <w:pPr>
              <w:ind w:left="708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691FB7">
              <w:rPr>
                <w:rFonts w:ascii="Calibri" w:hAnsi="Calibri" w:cs="Arial"/>
                <w:b/>
                <w:color w:val="0070C0"/>
              </w:rPr>
              <w:t>1</w:t>
            </w:r>
            <w:r w:rsidRPr="00691FB7">
              <w:rPr>
                <w:rFonts w:ascii="Calibri" w:hAnsi="Calibri" w:cs="Arial"/>
                <w:b/>
                <w:color w:val="0070C0"/>
                <w:sz w:val="20"/>
              </w:rPr>
              <w:t xml:space="preserve">. </w:t>
            </w:r>
            <w:r w:rsidRPr="00691FB7">
              <w:rPr>
                <w:rFonts w:ascii="Calibri" w:hAnsi="Calibri" w:cs="Arial"/>
                <w:b/>
                <w:color w:val="0070C0"/>
              </w:rPr>
              <w:t>ŽIVOTNE VJEŠTINE</w:t>
            </w:r>
          </w:p>
          <w:p w:rsidR="002C4F96" w:rsidRDefault="002C4F96" w:rsidP="002C4F96">
            <w:pPr>
              <w:ind w:left="708"/>
              <w:cnfStyle w:val="000000000000"/>
              <w:rPr>
                <w:rFonts w:ascii="Calibri" w:hAnsi="Calibri" w:cs="Arial"/>
                <w:i/>
                <w:color w:val="0070C0"/>
              </w:rPr>
            </w:pPr>
            <w:r w:rsidRPr="002C4F96">
              <w:rPr>
                <w:rFonts w:ascii="Calibri" w:hAnsi="Calibri" w:cs="Arial"/>
                <w:i/>
                <w:color w:val="0070C0"/>
              </w:rPr>
              <w:t>Promoci</w:t>
            </w:r>
            <w:r>
              <w:rPr>
                <w:rFonts w:ascii="Calibri" w:hAnsi="Calibri" w:cs="Arial"/>
                <w:i/>
                <w:color w:val="0070C0"/>
              </w:rPr>
              <w:t xml:space="preserve">ja odgovornog ponašanja </w:t>
            </w:r>
          </w:p>
          <w:p w:rsidR="002C4F96" w:rsidRPr="002C4F96" w:rsidRDefault="002C4F96" w:rsidP="002C4F96">
            <w:pPr>
              <w:ind w:left="708"/>
              <w:cnfStyle w:val="000000000000"/>
              <w:rPr>
                <w:rFonts w:ascii="Calibri" w:hAnsi="Calibri" w:cs="Arial"/>
                <w:b/>
                <w:color w:val="0070C0"/>
                <w:lang w:val="it-IT"/>
              </w:rPr>
            </w:pPr>
            <w:r w:rsidRPr="002C4F96">
              <w:rPr>
                <w:rFonts w:ascii="Calibri" w:hAnsi="Calibri" w:cs="Arial"/>
                <w:b/>
                <w:color w:val="0070C0"/>
                <w:lang w:val="it-IT"/>
              </w:rPr>
              <w:t xml:space="preserve"> </w:t>
            </w:r>
          </w:p>
          <w:p w:rsidR="007413D9" w:rsidRDefault="002C4F96" w:rsidP="002C4F96">
            <w:pPr>
              <w:ind w:left="708"/>
              <w:cnfStyle w:val="000000000000"/>
              <w:rPr>
                <w:rFonts w:ascii="Calibri" w:hAnsi="Calibri" w:cs="Arial"/>
                <w:color w:val="0070C0"/>
                <w:lang w:val="it-IT"/>
              </w:rPr>
            </w:pPr>
            <w:r w:rsidRPr="00691FB7">
              <w:rPr>
                <w:rFonts w:ascii="Calibri" w:hAnsi="Calibri" w:cs="Arial"/>
                <w:b/>
                <w:color w:val="0070C0"/>
                <w:lang w:val="it-IT"/>
              </w:rPr>
              <w:t xml:space="preserve">2. </w:t>
            </w:r>
            <w:proofErr w:type="spellStart"/>
            <w:r w:rsidRPr="00FB5D08">
              <w:rPr>
                <w:rFonts w:ascii="Calibri" w:hAnsi="Calibri" w:cs="Arial"/>
                <w:color w:val="0070C0"/>
                <w:lang w:val="it-IT"/>
              </w:rPr>
              <w:t>Komunikacijske</w:t>
            </w:r>
            <w:proofErr w:type="spellEnd"/>
            <w:r w:rsidRPr="00FB5D08">
              <w:rPr>
                <w:rFonts w:ascii="Calibri" w:hAnsi="Calibri" w:cs="Arial"/>
                <w:color w:val="0070C0"/>
                <w:lang w:val="it-IT"/>
              </w:rPr>
              <w:t xml:space="preserve"> </w:t>
            </w:r>
            <w:proofErr w:type="spellStart"/>
            <w:r w:rsidRPr="00FB5D08">
              <w:rPr>
                <w:rFonts w:ascii="Calibri" w:hAnsi="Calibri" w:cs="Arial"/>
                <w:color w:val="0070C0"/>
                <w:lang w:val="it-IT"/>
              </w:rPr>
              <w:t>vještine</w:t>
            </w:r>
            <w:proofErr w:type="spellEnd"/>
            <w:r w:rsidRPr="00FB5D08">
              <w:rPr>
                <w:rFonts w:ascii="Calibri" w:hAnsi="Calibri" w:cs="Arial"/>
                <w:color w:val="0070C0"/>
                <w:lang w:val="it-IT"/>
              </w:rPr>
              <w:t xml:space="preserve"> </w:t>
            </w:r>
          </w:p>
          <w:p w:rsidR="00691FB7" w:rsidRDefault="00691FB7" w:rsidP="002C4F96">
            <w:pPr>
              <w:ind w:left="708"/>
              <w:cnfStyle w:val="000000000000"/>
              <w:rPr>
                <w:rFonts w:ascii="Calibri" w:hAnsi="Calibri" w:cs="Arial"/>
                <w:color w:val="0070C0"/>
                <w:lang w:val="it-IT"/>
              </w:rPr>
            </w:pPr>
          </w:p>
          <w:p w:rsidR="00691FB7" w:rsidRPr="002C4F96" w:rsidRDefault="00691FB7" w:rsidP="002C4F96">
            <w:pPr>
              <w:ind w:left="708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="Calibri" w:hAnsi="Calibri" w:cs="Arial"/>
                <w:color w:val="0070C0"/>
                <w:lang w:val="it-IT"/>
              </w:rPr>
              <w:t xml:space="preserve">3. </w:t>
            </w:r>
            <w:proofErr w:type="spellStart"/>
            <w:r w:rsidR="001F2B47">
              <w:rPr>
                <w:rFonts w:ascii="Calibri" w:hAnsi="Calibri" w:cs="Arial"/>
                <w:color w:val="0070C0"/>
                <w:lang w:val="it-IT"/>
              </w:rPr>
              <w:t>Božićni</w:t>
            </w:r>
            <w:proofErr w:type="spellEnd"/>
            <w:r w:rsidR="001F2B47">
              <w:rPr>
                <w:rFonts w:ascii="Calibri" w:hAnsi="Calibri" w:cs="Arial"/>
                <w:color w:val="0070C0"/>
                <w:lang w:val="it-IT"/>
              </w:rPr>
              <w:t xml:space="preserve"> </w:t>
            </w:r>
            <w:proofErr w:type="spellStart"/>
            <w:r w:rsidR="001F2B47">
              <w:rPr>
                <w:rFonts w:ascii="Calibri" w:hAnsi="Calibri" w:cs="Arial"/>
                <w:color w:val="0070C0"/>
                <w:lang w:val="it-IT"/>
              </w:rPr>
              <w:t>sajam</w:t>
            </w:r>
            <w:proofErr w:type="spellEnd"/>
            <w:r w:rsidR="001F2B47">
              <w:rPr>
                <w:rFonts w:ascii="Calibri" w:hAnsi="Calibri" w:cs="Arial"/>
                <w:color w:val="0070C0"/>
                <w:lang w:val="it-IT"/>
              </w:rPr>
              <w:t xml:space="preserve"> / </w:t>
            </w:r>
            <w:proofErr w:type="spellStart"/>
            <w:r w:rsidR="001F2B47">
              <w:rPr>
                <w:rFonts w:ascii="Calibri" w:hAnsi="Calibri" w:cs="Arial"/>
                <w:color w:val="0070C0"/>
                <w:lang w:val="it-IT"/>
              </w:rPr>
              <w:t>Humanitarna</w:t>
            </w:r>
            <w:proofErr w:type="spellEnd"/>
            <w:r w:rsidR="001F2B47">
              <w:rPr>
                <w:rFonts w:ascii="Calibri" w:hAnsi="Calibri" w:cs="Arial"/>
                <w:color w:val="0070C0"/>
                <w:lang w:val="it-IT"/>
              </w:rPr>
              <w:t xml:space="preserve"> </w:t>
            </w:r>
            <w:proofErr w:type="spellStart"/>
            <w:r w:rsidR="001F2B47">
              <w:rPr>
                <w:rFonts w:ascii="Calibri" w:hAnsi="Calibri" w:cs="Arial"/>
                <w:color w:val="0070C0"/>
                <w:lang w:val="it-IT"/>
              </w:rPr>
              <w:t>akcija</w:t>
            </w:r>
            <w:proofErr w:type="spellEnd"/>
          </w:p>
        </w:tc>
        <w:tc>
          <w:tcPr>
            <w:tcW w:w="7422" w:type="dxa"/>
            <w:shd w:val="clear" w:color="auto" w:fill="FFFFFF" w:themeFill="background1"/>
          </w:tcPr>
          <w:p w:rsidR="005A240A" w:rsidRPr="00595FF8" w:rsidRDefault="005A240A" w:rsidP="005A240A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595FF8">
              <w:rPr>
                <w:rFonts w:ascii="Calibri" w:hAnsi="Calibri" w:cs="Calibri"/>
                <w:b/>
                <w:color w:val="0070C0"/>
                <w:sz w:val="20"/>
              </w:rPr>
              <w:t>Poduzetništvo</w:t>
            </w:r>
          </w:p>
          <w:p w:rsidR="007413D9" w:rsidRPr="008E31C2" w:rsidRDefault="008E31C2" w:rsidP="008E31C2">
            <w:pPr>
              <w:pStyle w:val="NoSpacing"/>
              <w:numPr>
                <w:ilvl w:val="0"/>
                <w:numId w:val="14"/>
              </w:numPr>
              <w:cnfStyle w:val="00000000000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A.3.1.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rimjenjuje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inovativna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kreativna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rješenja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E31C2">
              <w:rPr>
                <w:rFonts w:cs="Calibri"/>
                <w:color w:val="000000" w:themeColor="text1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A3111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redlaže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preporuke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za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razvoj poduzetničkog potencijala u okružju</w:t>
            </w:r>
          </w:p>
          <w:p w:rsidR="005A240A" w:rsidRPr="00FA3111" w:rsidRDefault="008E31C2" w:rsidP="00607AD5">
            <w:pPr>
              <w:pStyle w:val="NoSpacing"/>
              <w:numPr>
                <w:ilvl w:val="0"/>
                <w:numId w:val="14"/>
              </w:numPr>
              <w:cnfStyle w:val="000000000000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poduzetničku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ideju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od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koncepta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do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realizacije</w:t>
            </w:r>
            <w:proofErr w:type="spellEnd"/>
          </w:p>
          <w:p w:rsidR="00FA3111" w:rsidRPr="00595FF8" w:rsidRDefault="00FA3111" w:rsidP="00FA311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595FF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5211CD" w:rsidRPr="008E31C2" w:rsidRDefault="008E31C2" w:rsidP="008E31C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B.3.2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1F2B47" w:rsidRPr="001F2B47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8E31C2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5211CD" w:rsidRPr="008E31C2" w:rsidRDefault="008E31C2" w:rsidP="008E31C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proofErr w:type="spellStart"/>
            <w:r w:rsidRPr="008E31C2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8E31C2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pridonosi školi i lokalnoj zajednici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8E31C2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  <w:p w:rsidR="00FA3111" w:rsidRPr="005211CD" w:rsidRDefault="00FA3111" w:rsidP="005211CD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1DA4" w:rsidRPr="00846C83" w:rsidTr="00595FF8">
        <w:trPr>
          <w:cnfStyle w:val="000000100000"/>
          <w:trHeight w:val="1529"/>
        </w:trPr>
        <w:tc>
          <w:tcPr>
            <w:cnfStyle w:val="00100000000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C4F96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7413D9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1. prosinca - Svjetski dan borbe protiv AIDS-a • 2. prosinca - Međunarodni dan ukidanja ropstva • 3. prosinca - Međunarodni dan osoba s invaliditetom • 5. prosinca - Međunarodni dan dobrovoljnog rada za ekonomski i društveni napredak • 7. prosinca - Međunarodni dan civilnog zrakoplovstva • 9. prosinca - Međunarodni dan borbe protiv korupcije • 10. prosinca - Dan ljudskih prava • 11. prosinca - Međunarodni dan planina • 18. prosinca - Međunarodni dan migranata • 19. prosinca - Dan suradnje zemalja u razvoju • 20. prosinca - Međunarodni dan solidarnosti</w:t>
            </w:r>
          </w:p>
        </w:tc>
      </w:tr>
    </w:tbl>
    <w:p w:rsidR="00FA3111" w:rsidRDefault="00FA3111"/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0061D1" w:rsidTr="00595FF8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siječanj</w:t>
            </w:r>
          </w:p>
        </w:tc>
      </w:tr>
      <w:tr w:rsidR="00651701" w:rsidRPr="000061D1" w:rsidTr="00595FF8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A13A23" w:rsidRPr="000061D1" w:rsidTr="001F2B47">
        <w:trPr>
          <w:trHeight w:val="3973"/>
        </w:trPr>
        <w:tc>
          <w:tcPr>
            <w:cnfStyle w:val="001000000000"/>
            <w:tcW w:w="3874" w:type="dxa"/>
          </w:tcPr>
          <w:p w:rsidR="00A13A23" w:rsidRPr="000061D1" w:rsidRDefault="00A13A2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A13A23" w:rsidRPr="000061D1" w:rsidRDefault="006412B6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595FF8" w:rsidRPr="00FB5D08" w:rsidRDefault="00595FF8" w:rsidP="00FB5D08">
            <w:pPr>
              <w:spacing w:before="120"/>
              <w:ind w:left="113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FB5D08">
              <w:rPr>
                <w:rFonts w:ascii="Calibri" w:hAnsi="Calibri" w:cs="Arial"/>
                <w:b/>
                <w:color w:val="0070C0"/>
              </w:rPr>
              <w:t xml:space="preserve">1. Analiza </w:t>
            </w:r>
            <w:r w:rsidR="008E31C2">
              <w:rPr>
                <w:rFonts w:ascii="Calibri" w:hAnsi="Calibri" w:cs="Arial"/>
                <w:b/>
                <w:color w:val="0070C0"/>
              </w:rPr>
              <w:t xml:space="preserve">uspjeha na kraju 1. obrazovnog </w:t>
            </w:r>
            <w:r w:rsidRPr="00FB5D08">
              <w:rPr>
                <w:rFonts w:ascii="Calibri" w:hAnsi="Calibri" w:cs="Arial"/>
                <w:b/>
                <w:color w:val="0070C0"/>
              </w:rPr>
              <w:t>razdoblja</w:t>
            </w:r>
          </w:p>
          <w:p w:rsidR="00A13A23" w:rsidRPr="000061D1" w:rsidRDefault="00595FF8" w:rsidP="008E31C2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FB5D08">
              <w:rPr>
                <w:rFonts w:ascii="Calibri" w:hAnsi="Calibri"/>
                <w:b/>
                <w:color w:val="0070C0"/>
              </w:rPr>
              <w:t xml:space="preserve">2. </w:t>
            </w:r>
            <w:r w:rsidRPr="00FB5D08">
              <w:rPr>
                <w:rFonts w:ascii="Calibri" w:hAnsi="Calibri" w:cs="Arial"/>
                <w:b/>
                <w:color w:val="0070C0"/>
              </w:rPr>
              <w:t xml:space="preserve">ŽIVOTNE VJEŠTINE </w:t>
            </w:r>
            <w:r w:rsidR="008E31C2">
              <w:rPr>
                <w:rFonts w:ascii="Calibri" w:hAnsi="Calibri" w:cs="Calibri"/>
                <w:b/>
                <w:color w:val="0070C0"/>
              </w:rPr>
              <w:t>–</w:t>
            </w:r>
            <w:r w:rsidRPr="00FB5D08">
              <w:rPr>
                <w:rFonts w:ascii="Calibri" w:hAnsi="Calibri" w:cs="Arial"/>
                <w:b/>
                <w:color w:val="0070C0"/>
              </w:rPr>
              <w:t xml:space="preserve"> </w:t>
            </w:r>
            <w:r w:rsidRPr="00FB5D08">
              <w:rPr>
                <w:rFonts w:ascii="Calibri" w:hAnsi="Calibri" w:cs="Arial"/>
                <w:i/>
                <w:color w:val="0070C0"/>
              </w:rPr>
              <w:t xml:space="preserve">Samokontrola </w:t>
            </w:r>
          </w:p>
        </w:tc>
        <w:tc>
          <w:tcPr>
            <w:tcW w:w="7422" w:type="dxa"/>
            <w:shd w:val="clear" w:color="auto" w:fill="FFFFFF" w:themeFill="background1"/>
          </w:tcPr>
          <w:p w:rsidR="005211CD" w:rsidRPr="00691FB7" w:rsidRDefault="005211CD" w:rsidP="005211C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691FB7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5211CD" w:rsidRPr="005211CD" w:rsidRDefault="00D67C14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67C14">
              <w:rPr>
                <w:rFonts w:asciiTheme="minorHAnsi" w:hAnsiTheme="minorHAnsi" w:cstheme="minorHAnsi"/>
                <w:b/>
                <w:color w:val="231F20"/>
                <w:sz w:val="18"/>
              </w:rPr>
              <w:t>B.3.3.A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povezuje samopoštovanje s rizičnim ponašanjima</w:t>
            </w:r>
          </w:p>
          <w:p w:rsidR="005211CD" w:rsidRPr="005211CD" w:rsidRDefault="00D67C14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67C14">
              <w:rPr>
                <w:rFonts w:asciiTheme="minorHAnsi" w:hAnsiTheme="minorHAnsi" w:cstheme="minorHAnsi"/>
                <w:b/>
                <w:color w:val="231F20"/>
                <w:sz w:val="18"/>
              </w:rPr>
              <w:t>B.3.3.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>B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opisuje opasnosti uporabe sredstava ovisnosti te opasnosti drugih rizičnih ponašanja</w:t>
            </w:r>
          </w:p>
          <w:p w:rsidR="005211CD" w:rsidRPr="00D67C14" w:rsidRDefault="00D67C14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C.3.1.A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kao sudionik prometa poštuje prometna pravila i propise kako bi izbjegao opasnosti; 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C.3.1.B.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obrazlaže potencijalne opasnosti u kućanstvu i okolini – </w:t>
            </w:r>
            <w:r w:rsidR="005211CD" w:rsidRPr="00D67C14">
              <w:rPr>
                <w:rFonts w:asciiTheme="minorHAnsi" w:hAnsiTheme="minorHAnsi" w:cstheme="minorHAnsi"/>
                <w:color w:val="231F20"/>
                <w:sz w:val="18"/>
              </w:rPr>
              <w:t>prihvaća važnost opreza u situacijama rizičnima za ozljeđivanje</w:t>
            </w:r>
          </w:p>
          <w:p w:rsidR="005211CD" w:rsidRPr="00691FB7" w:rsidRDefault="005211CD" w:rsidP="005211C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691FB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655833" w:rsidRPr="00655833" w:rsidRDefault="00655833" w:rsidP="00655833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drugima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treba preuzeti</w:t>
            </w:r>
            <w:r w:rsidR="005211CD"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odgovornost za svoje postupke i izbore</w:t>
            </w:r>
            <w:r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211CD" w:rsidRPr="00655833" w:rsidRDefault="00655833" w:rsidP="00655833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5211CD"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5211CD" w:rsidRPr="005211CD" w:rsidRDefault="00B57724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A.3.3.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razvija osobne potencijale – </w:t>
            </w:r>
            <w:r w:rsidR="005211CD" w:rsidRP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5211CD" w:rsidRPr="005211CD" w:rsidRDefault="005211CD" w:rsidP="00691FB7">
            <w:pPr>
              <w:pStyle w:val="ListParagraph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  <w:tr w:rsidR="00A13A23" w:rsidRPr="000061D1" w:rsidTr="00595FF8">
        <w:trPr>
          <w:cnfStyle w:val="000000100000"/>
          <w:trHeight w:val="983"/>
        </w:trPr>
        <w:tc>
          <w:tcPr>
            <w:cnfStyle w:val="001000000000"/>
            <w:tcW w:w="3874" w:type="dxa"/>
            <w:shd w:val="clear" w:color="auto" w:fill="E7F9FF"/>
          </w:tcPr>
          <w:p w:rsidR="00A13A23" w:rsidRPr="000061D1" w:rsidRDefault="00A13A23" w:rsidP="00A13A23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595FF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A13A23" w:rsidRPr="000061D1" w:rsidRDefault="006412B6" w:rsidP="006412B6">
            <w:pPr>
              <w:spacing w:before="120" w:after="48"/>
              <w:ind w:left="113"/>
              <w:textAlignment w:val="baseline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1. siječnja - Svjetski dan obitelji • 1. siječnja - Svjetski dan mira - pismom pape Pavla VI. • 27. siječnja - Međunarodni dan sjećanja na Holokaust • 28. siječnja - Dan zaštite podataka - Vijeće Europe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0061D1" w:rsidTr="00EB52B8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veljača</w:t>
            </w:r>
          </w:p>
        </w:tc>
      </w:tr>
      <w:tr w:rsidR="00651701" w:rsidRPr="000061D1" w:rsidTr="00EB52B8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0061D1" w:rsidRPr="000061D1" w:rsidTr="00EB52B8">
        <w:trPr>
          <w:trHeight w:val="2589"/>
        </w:trPr>
        <w:tc>
          <w:tcPr>
            <w:cnfStyle w:val="001000000000"/>
            <w:tcW w:w="3874" w:type="dxa"/>
          </w:tcPr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i provesti s učenicima aktivnosti posvećene obilježavanju Dana sigurnijeg interneta</w:t>
            </w:r>
          </w:p>
        </w:tc>
        <w:tc>
          <w:tcPr>
            <w:tcW w:w="3918" w:type="dxa"/>
            <w:shd w:val="clear" w:color="auto" w:fill="FFFFFF" w:themeFill="background1"/>
          </w:tcPr>
          <w:p w:rsidR="00EB52B8" w:rsidRPr="00EB52B8" w:rsidRDefault="00EB52B8" w:rsidP="00EB52B8">
            <w:pPr>
              <w:ind w:left="360"/>
              <w:cnfStyle w:val="000000000000"/>
              <w:rPr>
                <w:rFonts w:ascii="Calibri" w:hAnsi="Calibri" w:cs="Arial"/>
                <w:b/>
                <w:i/>
                <w:color w:val="0070C0"/>
              </w:rPr>
            </w:pPr>
          </w:p>
          <w:p w:rsidR="00EB52B8" w:rsidRPr="00EB52B8" w:rsidRDefault="001F2B47" w:rsidP="00EB52B8">
            <w:pPr>
              <w:pStyle w:val="ListParagraph"/>
              <w:numPr>
                <w:ilvl w:val="0"/>
                <w:numId w:val="31"/>
              </w:numPr>
              <w:cnfStyle w:val="000000000000"/>
              <w:rPr>
                <w:rFonts w:ascii="Calibri" w:hAnsi="Calibri" w:cs="Arial"/>
                <w:b/>
                <w:color w:val="0070C0"/>
              </w:rPr>
            </w:pPr>
            <w:r>
              <w:rPr>
                <w:rFonts w:ascii="Calibri" w:hAnsi="Calibri" w:cs="Arial"/>
                <w:b/>
                <w:color w:val="0070C0"/>
              </w:rPr>
              <w:t>Rizič</w:t>
            </w:r>
            <w:r w:rsidR="00EB52B8" w:rsidRPr="00EB52B8">
              <w:rPr>
                <w:rFonts w:ascii="Calibri" w:hAnsi="Calibri" w:cs="Arial"/>
                <w:b/>
                <w:color w:val="0070C0"/>
              </w:rPr>
              <w:t xml:space="preserve">ne situacije </w:t>
            </w:r>
            <w:r>
              <w:rPr>
                <w:rFonts w:ascii="Calibri" w:hAnsi="Calibri" w:cs="Arial"/>
                <w:b/>
                <w:color w:val="0070C0"/>
              </w:rPr>
              <w:t>/ rizič</w:t>
            </w:r>
            <w:r w:rsidR="00EB52B8" w:rsidRPr="00EB52B8">
              <w:rPr>
                <w:rFonts w:ascii="Calibri" w:hAnsi="Calibri" w:cs="Arial"/>
                <w:b/>
                <w:color w:val="0070C0"/>
              </w:rPr>
              <w:t xml:space="preserve">na ponašanja </w:t>
            </w:r>
          </w:p>
          <w:p w:rsidR="00EB52B8" w:rsidRPr="00EB52B8" w:rsidRDefault="00EB52B8" w:rsidP="00EB52B8">
            <w:pPr>
              <w:pStyle w:val="ListParagraph"/>
              <w:numPr>
                <w:ilvl w:val="0"/>
                <w:numId w:val="31"/>
              </w:numPr>
              <w:cnfStyle w:val="000000000000"/>
              <w:rPr>
                <w:rFonts w:ascii="Calibri" w:hAnsi="Calibri"/>
                <w:b/>
                <w:color w:val="0070C0"/>
                <w:u w:val="single"/>
              </w:rPr>
            </w:pPr>
            <w:r w:rsidRPr="00EB52B8">
              <w:rPr>
                <w:rFonts w:ascii="Calibri" w:hAnsi="Calibri" w:cs="Arial"/>
                <w:b/>
                <w:color w:val="0070C0"/>
              </w:rPr>
              <w:t>Kako uspješno odabrati sport i baviti se njime</w:t>
            </w:r>
          </w:p>
          <w:p w:rsidR="000061D1" w:rsidRPr="000061D1" w:rsidRDefault="000061D1" w:rsidP="00595FF8">
            <w:pPr>
              <w:pStyle w:val="ListParagraph"/>
              <w:spacing w:before="120"/>
              <w:ind w:left="473"/>
              <w:cnfStyle w:val="00000000000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521" w:rsidRPr="00FB5D08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691FB7" w:rsidRPr="004D2AF9" w:rsidRDefault="00B57724" w:rsidP="004D2AF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A.3.2.D </w:t>
            </w:r>
            <w:r w:rsidR="00691FB7" w:rsidRPr="00691FB7">
              <w:rPr>
                <w:rFonts w:asciiTheme="minorHAnsi" w:hAnsiTheme="minorHAnsi" w:cstheme="minorHAnsi"/>
                <w:i/>
                <w:color w:val="231F20"/>
                <w:sz w:val="18"/>
              </w:rPr>
              <w:t>opisuje važnost redovitoga tjelesnoga vježbanja kao važnog čimbenika regulacije tjelesne mase</w:t>
            </w:r>
            <w:r w:rsid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D2AF9"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opisuje tjelesne aktivnosti koje pridonose zdravlju</w:t>
            </w:r>
          </w:p>
          <w:p w:rsidR="004D2AF9" w:rsidRPr="004D2AF9" w:rsidRDefault="004D2AF9" w:rsidP="004D2AF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>C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>nabraja zakonska ograničenja važna za zdravlje i sigurnost maloljetnika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>usvaja stav da je konzumiranje alkohola i droga neprihvatljivo i ugrožava zdravlje</w:t>
            </w:r>
          </w:p>
          <w:p w:rsidR="00AF1521" w:rsidRPr="00FB5D08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0061D1" w:rsidRPr="004D2AF9" w:rsidRDefault="004D2AF9" w:rsidP="00691FB7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proofErr w:type="gram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proofErr w:type="gram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komunikacijske</w:t>
            </w:r>
            <w:proofErr w:type="spellEnd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odnose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drugima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povezuje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svoje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i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tuđe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stavove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izbore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i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postupke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s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posljedicama</w:t>
            </w:r>
            <w:proofErr w:type="spellEnd"/>
          </w:p>
          <w:p w:rsidR="00AF1521" w:rsidRPr="004D2AF9" w:rsidRDefault="004D2AF9" w:rsidP="004D2AF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C.3.1</w:t>
            </w: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razlikuje sigurne od rizičnih situacija i ima razvijene osnovne strategije samozaštite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odlučuje o vlastitome sigurnom ponašanju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odbija nagovor vršnjaka na nepoželjno ponašanje</w:t>
            </w:r>
          </w:p>
          <w:p w:rsidR="00691FB7" w:rsidRPr="005211CD" w:rsidRDefault="004D2AF9" w:rsidP="00691FB7">
            <w:pPr>
              <w:pStyle w:val="ListParagraph"/>
              <w:numPr>
                <w:ilvl w:val="0"/>
                <w:numId w:val="19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sliku o sebi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691FB7" w:rsidRPr="005211CD" w:rsidRDefault="004D2AF9" w:rsidP="00691FB7">
            <w:pPr>
              <w:pStyle w:val="ListParagraph"/>
              <w:numPr>
                <w:ilvl w:val="0"/>
                <w:numId w:val="19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A.3.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osobne potencijale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691FB7" w:rsidRPr="00691FB7" w:rsidRDefault="004D2AF9" w:rsidP="00691FB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B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strategije rješavanja sukoba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poznaje nenasilne strategije rješavanja sukoba i prepoznaje situacije koje mogu dovesti do sukoba</w:t>
            </w:r>
          </w:p>
          <w:p w:rsidR="00AF1521" w:rsidRPr="00AF1521" w:rsidRDefault="00AF1521" w:rsidP="004D2AF9">
            <w:pPr>
              <w:pStyle w:val="ListParagraph"/>
              <w:shd w:val="clear" w:color="auto" w:fill="FFFFFF"/>
              <w:spacing w:after="48"/>
              <w:textAlignment w:val="baseline"/>
              <w:cnfStyle w:val="000000000000"/>
            </w:pPr>
          </w:p>
        </w:tc>
      </w:tr>
      <w:tr w:rsidR="00D7360E" w:rsidRPr="000061D1" w:rsidTr="00EB52B8">
        <w:trPr>
          <w:cnfStyle w:val="000000100000"/>
          <w:trHeight w:val="1253"/>
        </w:trPr>
        <w:tc>
          <w:tcPr>
            <w:cnfStyle w:val="001000000000"/>
            <w:tcW w:w="3874" w:type="dxa"/>
            <w:shd w:val="clear" w:color="auto" w:fill="E7F9FF"/>
          </w:tcPr>
          <w:p w:rsidR="00D7360E" w:rsidRPr="000061D1" w:rsidRDefault="00D7360E" w:rsidP="00607AD5">
            <w:pPr>
              <w:numPr>
                <w:ilvl w:val="0"/>
                <w:numId w:val="1"/>
              </w:numPr>
              <w:spacing w:before="120"/>
              <w:ind w:left="113"/>
              <w:rPr>
                <w:rFonts w:asciiTheme="minorHAnsi" w:hAnsiTheme="minorHAnsi" w:cstheme="minorHAnsi"/>
                <w:b w:val="0"/>
                <w:color w:val="000000" w:themeColor="text1"/>
                <w:szCs w:val="20"/>
              </w:rPr>
            </w:pPr>
            <w:r w:rsidRPr="00EB52B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D7360E" w:rsidRPr="000061D1" w:rsidRDefault="00D7360E" w:rsidP="006412B6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prva nedjelja u veljači - Međunarodni dan života • 2. veljače - Međunarodni dan zaštite močvara • 4. veljače - Svjetski dan borbe protiv raka • 11. veljače - Svjetski dan bolesnika - inicijativom pape Ivana Pavla II. • 12. veljače - Darwinov dan • 20. veljače - Svjetski dan socijalne pravde • 21. veljače - Međunarodni dan materinskog jezika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8C5C2E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8C5C2E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ožujak</w:t>
            </w:r>
          </w:p>
        </w:tc>
      </w:tr>
      <w:tr w:rsidR="00651701" w:rsidRPr="008C5C2E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B9041D">
        <w:trPr>
          <w:trHeight w:val="3640"/>
        </w:trPr>
        <w:tc>
          <w:tcPr>
            <w:cnfStyle w:val="00100000000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3. roditeljski sastanak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0070C0"/>
              </w:rPr>
            </w:pPr>
          </w:p>
          <w:p w:rsidR="00B9041D" w:rsidRPr="00B904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</w:rPr>
              <w:t>1. Rizi</w:t>
            </w:r>
            <w:r w:rsidR="003106F6">
              <w:rPr>
                <w:rFonts w:asciiTheme="minorHAnsi" w:hAnsiTheme="minorHAnsi" w:cstheme="minorHAnsi"/>
                <w:b/>
                <w:color w:val="0070C0"/>
              </w:rPr>
              <w:t>čne situacije/</w:t>
            </w:r>
            <w:r w:rsidRPr="00B9041D">
              <w:rPr>
                <w:rFonts w:asciiTheme="minorHAnsi" w:hAnsiTheme="minorHAnsi" w:cstheme="minorHAnsi"/>
                <w:b/>
                <w:color w:val="0070C0"/>
              </w:rPr>
              <w:t>rizi</w:t>
            </w:r>
            <w:r w:rsidR="004D2AF9">
              <w:rPr>
                <w:rFonts w:asciiTheme="minorHAnsi" w:hAnsiTheme="minorHAnsi" w:cstheme="minorHAnsi"/>
                <w:b/>
                <w:color w:val="0070C0"/>
              </w:rPr>
              <w:t>č</w:t>
            </w:r>
            <w:r w:rsidRPr="00B9041D">
              <w:rPr>
                <w:rFonts w:asciiTheme="minorHAnsi" w:hAnsiTheme="minorHAnsi" w:cstheme="minorHAnsi"/>
                <w:b/>
                <w:color w:val="0070C0"/>
              </w:rPr>
              <w:t xml:space="preserve">na ponašanja </w:t>
            </w:r>
          </w:p>
          <w:p w:rsidR="00B9041D" w:rsidRPr="00B904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</w:rPr>
            </w:pPr>
          </w:p>
          <w:p w:rsidR="008C5C2E" w:rsidRPr="004D2AF9" w:rsidRDefault="00B9041D" w:rsidP="004D2AF9">
            <w:pPr>
              <w:pStyle w:val="ListParagraph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lang w:val="it-IT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it-IT"/>
              </w:rPr>
              <w:t xml:space="preserve">2. </w:t>
            </w:r>
            <w:r w:rsidRPr="00B9041D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Poštovanja dostojanstva svake osobe </w:t>
            </w:r>
            <w:proofErr w:type="gramStart"/>
            <w:r w:rsidRPr="00B9041D">
              <w:rPr>
                <w:rFonts w:asciiTheme="minorHAnsi" w:hAnsiTheme="minorHAnsi" w:cstheme="minorHAnsi"/>
                <w:b/>
                <w:bCs/>
                <w:color w:val="0070C0"/>
              </w:rPr>
              <w:t>i</w:t>
            </w:r>
            <w:proofErr w:type="gramEnd"/>
            <w:r w:rsidRPr="00B9041D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zajednički rad na dobrobit svih</w:t>
            </w:r>
          </w:p>
        </w:tc>
        <w:tc>
          <w:tcPr>
            <w:tcW w:w="7422" w:type="dxa"/>
            <w:shd w:val="clear" w:color="auto" w:fill="FFFFFF" w:themeFill="background1"/>
          </w:tcPr>
          <w:p w:rsidR="00AF1521" w:rsidRPr="00FB5D08" w:rsidRDefault="00AF1521" w:rsidP="003106F6">
            <w:pPr>
              <w:pStyle w:val="NormalWeb"/>
              <w:spacing w:before="24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AF1521" w:rsidRPr="003106F6" w:rsidRDefault="003106F6" w:rsidP="003106F6">
            <w:pPr>
              <w:pStyle w:val="NoSpacing"/>
              <w:numPr>
                <w:ilvl w:val="0"/>
                <w:numId w:val="21"/>
              </w:numPr>
              <w:cnfStyle w:val="000000000000"/>
              <w:rPr>
                <w:color w:val="000000" w:themeColor="text1"/>
                <w:sz w:val="18"/>
                <w:shd w:val="clear" w:color="auto" w:fill="FFFFFF"/>
              </w:rPr>
            </w:pP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B.3.1.A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opisuje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i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procjenjuje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vršnjački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pritisak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;</w:t>
            </w: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 B.3.1.B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razlikuje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i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vrednuje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različite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načine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komunikacije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i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ponašanja</w:t>
            </w:r>
            <w:proofErr w:type="spellEnd"/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r>
              <w:rPr>
                <w:rFonts w:cs="Calibri"/>
                <w:i/>
                <w:color w:val="000000" w:themeColor="text1"/>
                <w:sz w:val="18"/>
                <w:shd w:val="clear" w:color="auto" w:fill="FFFFFF"/>
              </w:rPr>
              <w:t>–</w:t>
            </w:r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odupire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se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vršnjačkim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pritiscima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i rizičnim situacijama u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stvarnome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i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virtualnome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svijetu</w:t>
            </w:r>
            <w:proofErr w:type="spellEnd"/>
            <w:r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prihvaća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odgovornost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za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vlastite odluke i posljedice svojega ponašanja</w:t>
            </w:r>
          </w:p>
          <w:p w:rsidR="00AF1521" w:rsidRPr="00FB5D08" w:rsidRDefault="00AF1521" w:rsidP="003106F6">
            <w:pPr>
              <w:pStyle w:val="NormalWeb"/>
              <w:spacing w:before="24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4E2AD2" w:rsidRPr="003106F6" w:rsidRDefault="003106F6" w:rsidP="003106F6">
            <w:pPr>
              <w:pStyle w:val="ListParagraph"/>
              <w:numPr>
                <w:ilvl w:val="0"/>
                <w:numId w:val="22"/>
              </w:numPr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i uvažavajuće odnose s drugima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  <w:shd w:val="clear" w:color="auto" w:fill="FFFFFF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povezuje svoje i tuđe stavove, izbore i postupke s posljedicama</w:t>
            </w:r>
            <w:r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,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prilagođava i usklađuje svoje ponašanje s pravilima u skupini</w:t>
            </w:r>
          </w:p>
          <w:p w:rsidR="004E2AD2" w:rsidRPr="004D2AF9" w:rsidRDefault="004E2AD2" w:rsidP="003106F6">
            <w:pPr>
              <w:pStyle w:val="NormalWeb"/>
              <w:spacing w:before="240" w:beforeAutospacing="0" w:after="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Uporaba informacijsko-komunikacijske tehnologije</w:t>
            </w:r>
          </w:p>
          <w:p w:rsidR="004E2AD2" w:rsidRPr="003106F6" w:rsidRDefault="003106F6" w:rsidP="003106F6">
            <w:pPr>
              <w:pStyle w:val="ListParagraph"/>
              <w:numPr>
                <w:ilvl w:val="0"/>
                <w:numId w:val="23"/>
              </w:numPr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  <w:proofErr w:type="spellStart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ikt</w:t>
            </w:r>
            <w:proofErr w:type="spellEnd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A.3.4.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čenik analizira utjecaj tehnologije na zdravlje i okoliš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–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prepoznaje znakove ovisnosti o tehnologiji i poduzima korake za sprečavanje elektroničkoga nasilja i govora mržnje</w:t>
            </w:r>
          </w:p>
          <w:p w:rsidR="004E2AD2" w:rsidRPr="003106F6" w:rsidRDefault="003106F6" w:rsidP="003106F6">
            <w:pPr>
              <w:pStyle w:val="ListParagraph"/>
              <w:numPr>
                <w:ilvl w:val="0"/>
                <w:numId w:val="24"/>
              </w:numPr>
              <w:spacing w:before="240" w:after="12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  <w:proofErr w:type="spellStart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ikt</w:t>
            </w:r>
            <w:proofErr w:type="spellEnd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 xml:space="preserve"> B.3.1.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Učenik samostalno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komunicira s poznatim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osobama u sigurnome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digitalnom okružju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–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analizira razloge pogrešnoga interpretiranja poruka u digitalnome okružju te rizike koji dovode do nerazumijevanja zbog uporabe simbola, grafičkih prikaza i kratica te nestandardnoga jezika</w:t>
            </w:r>
          </w:p>
        </w:tc>
      </w:tr>
      <w:tr w:rsidR="00CD18C6" w:rsidRPr="008C5C2E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CD18C6" w:rsidRPr="008C5C2E" w:rsidRDefault="008A419D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EB52B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8C5C2E" w:rsidRDefault="000E6664" w:rsidP="000E666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7. ožujka – Dan planinara • 8. ožujka - Međunarodni dan žena • 8. ožujka - Svjetski dan bubrega • 21. ožujka - Međunarodni dan za eliminaciju rasne diskriminacije • 21. ožujka - Svjetski dan poezije • 22. ožujka - Svjetski dan voda • 23. ožujka - Svjetski dan meteorologije • 27. ožujka - Svjetski dan kazališta • ožujak - mjesec hrvatskoga jezika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8C5C2E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8C5C2E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travanj</w:t>
            </w:r>
          </w:p>
        </w:tc>
      </w:tr>
      <w:tr w:rsidR="00651701" w:rsidRPr="008C5C2E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B9041D">
        <w:trPr>
          <w:trHeight w:val="3640"/>
        </w:trPr>
        <w:tc>
          <w:tcPr>
            <w:cnfStyle w:val="00100000000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škole planiranim aktivnostima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C5C2E" w:rsidRDefault="008C5C2E" w:rsidP="00B9041D">
            <w:pPr>
              <w:pStyle w:val="ListParagraph"/>
              <w:numPr>
                <w:ilvl w:val="0"/>
                <w:numId w:val="4"/>
              </w:numPr>
              <w:spacing w:before="240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Dan škole – međurazredna natjecanja </w:t>
            </w:r>
            <w:r w:rsidR="00302CFA"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–</w:t>
            </w: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 priprema</w:t>
            </w:r>
            <w:r w:rsidR="00302CFA"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 </w:t>
            </w:r>
          </w:p>
          <w:p w:rsidR="00B9041D" w:rsidRPr="00B9041D" w:rsidRDefault="00B9041D" w:rsidP="00B9041D">
            <w:pPr>
              <w:pStyle w:val="ListParagraph"/>
              <w:spacing w:before="240"/>
              <w:ind w:left="833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</w:p>
          <w:p w:rsidR="00B9041D" w:rsidRPr="00B9041D" w:rsidRDefault="00B9041D" w:rsidP="00607AD5">
            <w:pPr>
              <w:pStyle w:val="ListParagraph"/>
              <w:numPr>
                <w:ilvl w:val="0"/>
                <w:numId w:val="4"/>
              </w:numPr>
              <w:spacing w:before="120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</w:rPr>
              <w:t>Komunikacija o spolnosti</w:t>
            </w:r>
          </w:p>
          <w:p w:rsidR="008C5C2E" w:rsidRPr="008C5C2E" w:rsidRDefault="008C5C2E" w:rsidP="008A419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8C5C2E" w:rsidRPr="008C5C2E" w:rsidRDefault="008C5C2E" w:rsidP="00101232">
            <w:pPr>
              <w:pStyle w:val="ListParagraph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FB5D08" w:rsidRPr="00FB5D08" w:rsidRDefault="00FB5D08" w:rsidP="004E2AD2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FB5D08" w:rsidRPr="003106F6" w:rsidRDefault="003106F6" w:rsidP="003106F6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B.3.2.D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FB5D08" w:rsidRPr="00FB5D08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prepoznaje utjecaj odgovornoga spolnoga ponašanja na mentalno zdravlje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20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usvaja i prihvaća da su pubertet i adolescencija praćeni intenzivnim emocijama</w:t>
            </w:r>
            <w:r w:rsidRPr="003106F6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raspravlja o utjecaju odgovornoga spolnoga ponašanja na mentalno zdravlje</w:t>
            </w:r>
          </w:p>
          <w:p w:rsidR="004E2AD2" w:rsidRPr="00FB5D08" w:rsidRDefault="004E2AD2" w:rsidP="004E2AD2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4E2AD2" w:rsidRPr="002E4191" w:rsidRDefault="002E4191" w:rsidP="002E4191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B.3.2</w:t>
            </w:r>
            <w:r w:rsidRPr="002E4191">
              <w:rPr>
                <w:rFonts w:asciiTheme="minorHAnsi" w:hAnsiTheme="minorHAnsi" w:cstheme="minorHAnsi"/>
                <w:b/>
                <w:i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4E2AD2" w:rsidRPr="002E4191" w:rsidRDefault="002E4191" w:rsidP="002E4191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proofErr w:type="spellStart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nosi školi i lokalnoj zajednici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</w:tc>
      </w:tr>
      <w:tr w:rsidR="00F901CA" w:rsidRPr="008C5C2E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F901CA" w:rsidRPr="008C5C2E" w:rsidRDefault="008A419D" w:rsidP="00F901CA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F901CA" w:rsidRPr="008C5C2E" w:rsidRDefault="008A419D" w:rsidP="00B94882">
            <w:pPr>
              <w:spacing w:before="120" w:after="120"/>
              <w:ind w:left="113"/>
              <w:cnfStyle w:val="000000100000"/>
              <w:rPr>
                <w:rFonts w:asciiTheme="minorHAnsi" w:hAnsiTheme="minorHAnsi" w:cstheme="minorHAnsi"/>
                <w:color w:val="231F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2. travnja - Svjetski dan svjesnosti o autizmu • 4. travnja - Međunarodni dan svjesnosti o opasnostima od mina i pomoći u </w:t>
            </w:r>
            <w:proofErr w:type="spellStart"/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protuminskom</w:t>
            </w:r>
            <w:proofErr w:type="spellEnd"/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djelovanju • 7. travnja - Svjetski dan zdravlja • 8. travnja - Svjetski dan Roma • 11. travnja - Svjetski dan Parkinsonove bolesti • 22. travnja - Dan planeta Zemlje ili Međunarodni dan majke Zemlje • 23. travnja - Svjetski dan knjige i autorskih prava • 26. travnja - Svjetski dan intelektualnog vlasništva - WIPO • 28. travnja - Svjetski dan sigurnosti i zaštite zdravlja na radu • 29. travnja - Svjetski dan plesa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302CFA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svibanj</w:t>
            </w:r>
          </w:p>
        </w:tc>
      </w:tr>
      <w:tr w:rsidR="00651701" w:rsidRPr="00302CFA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302CFA" w:rsidRPr="00302CFA" w:rsidTr="00B9041D">
        <w:trPr>
          <w:trHeight w:val="3458"/>
        </w:trPr>
        <w:tc>
          <w:tcPr>
            <w:cnfStyle w:val="001000000000"/>
            <w:tcW w:w="3874" w:type="dxa"/>
          </w:tcPr>
          <w:p w:rsidR="00302CFA" w:rsidRPr="00302CFA" w:rsidRDefault="00302CF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4. roditeljski sastanak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302CFA" w:rsidRPr="00302CFA" w:rsidRDefault="00302CFA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Pr="00B9041D" w:rsidRDefault="00B9041D" w:rsidP="00B9041D">
            <w:pPr>
              <w:pStyle w:val="ListParagraph"/>
              <w:numPr>
                <w:ilvl w:val="0"/>
                <w:numId w:val="33"/>
              </w:numPr>
              <w:spacing w:before="120"/>
              <w:cnfStyle w:val="000000000000"/>
              <w:rPr>
                <w:rFonts w:ascii="Calibri" w:hAnsi="Calibri"/>
                <w:b/>
                <w:i/>
                <w:color w:val="0070C0"/>
              </w:rPr>
            </w:pPr>
            <w:r w:rsidRPr="00B9041D">
              <w:rPr>
                <w:rFonts w:ascii="Calibri" w:hAnsi="Calibri"/>
                <w:b/>
                <w:i/>
                <w:color w:val="0070C0"/>
              </w:rPr>
              <w:t>Vršnja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>ki pritisak, samopoštovanje i rizi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 xml:space="preserve">na ponašanja </w:t>
            </w:r>
          </w:p>
          <w:p w:rsidR="00B9041D" w:rsidRPr="00B9041D" w:rsidRDefault="00B9041D" w:rsidP="00B9041D">
            <w:pPr>
              <w:pStyle w:val="ListParagraph"/>
              <w:spacing w:before="120"/>
              <w:ind w:left="360"/>
              <w:cnfStyle w:val="000000000000"/>
              <w:rPr>
                <w:rFonts w:ascii="Calibri" w:hAnsi="Calibri"/>
                <w:b/>
                <w:i/>
                <w:color w:val="0070C0"/>
              </w:rPr>
            </w:pPr>
          </w:p>
          <w:p w:rsidR="00B9041D" w:rsidRPr="00B9041D" w:rsidRDefault="00B9041D" w:rsidP="00B9041D">
            <w:pPr>
              <w:pStyle w:val="ListParagraph"/>
              <w:numPr>
                <w:ilvl w:val="0"/>
                <w:numId w:val="33"/>
              </w:numPr>
              <w:spacing w:before="120"/>
              <w:cnfStyle w:val="000000000000"/>
              <w:rPr>
                <w:rFonts w:ascii="Calibri" w:hAnsi="Calibri"/>
                <w:b/>
                <w:i/>
                <w:color w:val="0070C0"/>
              </w:rPr>
            </w:pPr>
            <w:r w:rsidRPr="00B9041D">
              <w:rPr>
                <w:rFonts w:ascii="Calibri" w:hAnsi="Calibri"/>
                <w:b/>
                <w:i/>
                <w:color w:val="0070C0"/>
              </w:rPr>
              <w:t>Prihvaćanje razli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 xml:space="preserve">itosti u seksualnosti </w:t>
            </w:r>
          </w:p>
          <w:p w:rsidR="00302CFA" w:rsidRPr="00302CFA" w:rsidRDefault="00302CFA" w:rsidP="00B9041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607AD5" w:rsidRPr="00923034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923034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2E4191" w:rsidRPr="00655833" w:rsidRDefault="002E4191" w:rsidP="002E4191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drugima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treba preuzeti</w:t>
            </w:r>
            <w:r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odgovornost za svoje postupke i izbore </w:t>
            </w:r>
          </w:p>
          <w:p w:rsidR="00607AD5" w:rsidRPr="005211CD" w:rsidRDefault="002E4191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A.3.1.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sliku o sebi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  <w:shd w:val="clear" w:color="auto" w:fill="FFFFFF"/>
              </w:rPr>
              <w:t>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2E4191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607AD5" w:rsidRPr="005211CD" w:rsidRDefault="002E4191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A.3.3.</w:t>
            </w:r>
            <w:r w:rsidRPr="002E4191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osobne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2E4191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607AD5" w:rsidRDefault="00607AD5" w:rsidP="00607AD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/>
              <w:rPr>
                <w:color w:val="231F20"/>
              </w:rPr>
            </w:pPr>
            <w:r>
              <w:rPr>
                <w:color w:val="231F20"/>
              </w:rPr>
              <w:t> </w:t>
            </w:r>
          </w:p>
          <w:p w:rsidR="00923034" w:rsidRPr="00607AD5" w:rsidRDefault="00923034" w:rsidP="009230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923034" w:rsidRPr="002E4191" w:rsidRDefault="002E4191" w:rsidP="002E4191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B.3.2.A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utjecaj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razvojnih promjena na emocije;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B.3.2.B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repoznaje stres kao važan čimbenik u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narušavanju mentalnoga zdravlja;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B.3.2.C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i objašnjava svoje osobne i socijalne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;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B.3.2.D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utjecaj odgovornoga spolnoga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ponašanja na mentalno zdravlje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23034" w:rsidRPr="002E4191">
              <w:rPr>
                <w:rFonts w:asciiTheme="minorHAnsi" w:hAnsiTheme="minorHAnsi" w:cstheme="minorHAnsi"/>
                <w:color w:val="231F20"/>
                <w:sz w:val="18"/>
              </w:rPr>
              <w:t>poštuje različitosti jer one obogaćuju zajednicu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923034" w:rsidRPr="002E4191">
              <w:rPr>
                <w:rFonts w:asciiTheme="minorHAnsi" w:hAnsiTheme="minorHAnsi" w:cstheme="minorHAnsi"/>
                <w:color w:val="231F20"/>
                <w:sz w:val="18"/>
              </w:rPr>
              <w:t>prihvaća da je za zdravlje važno odgovorno spolno ponašanje</w:t>
            </w:r>
          </w:p>
          <w:p w:rsidR="00607AD5" w:rsidRPr="00607AD5" w:rsidRDefault="00607AD5" w:rsidP="00923034">
            <w:pPr>
              <w:pStyle w:val="ListParagraph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  <w:tr w:rsidR="00CD18C6" w:rsidRPr="00302CFA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CD18C6" w:rsidRPr="00302CFA" w:rsidRDefault="00B94882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B94882" w:rsidP="00B94882">
            <w:pPr>
              <w:spacing w:before="120" w:after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>3. svibnja - Svjetski dan slobode tiska • 4. svibnja - Svjetski dan vatrogasaca • 8. i 9. svibnja - Dani sjećanja na poginule tijekom Drugog svjetskog rata • 9. i 10. svibnja - Svjetski dan ptica selica • 12. svibnja - Svjetski dan medicinskih sestara • 15. svibnja - Međunarodni dan obitelji • 17. svibnja - Svjetski dan telekomunikacijskog i informacijskog društva • 21. svibnja - Svjetski dan kulturne raznolikosti za dijalog i razvoj • 22. svibnja - Međunarodni dan biološke raznolikosti • 25. svibnja - Dan Afrike • 29. svibnja - Međunarodni dan mirotvoraca UN-a • 31. svibnja - Svjetski dan nepušenja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302CFA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lipanj</w:t>
            </w:r>
          </w:p>
        </w:tc>
      </w:tr>
      <w:tr w:rsidR="00651701" w:rsidRPr="00302CFA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97FAF" w:rsidRPr="00302CFA" w:rsidTr="00302CFA">
        <w:trPr>
          <w:trHeight w:val="2725"/>
        </w:trPr>
        <w:tc>
          <w:tcPr>
            <w:cnfStyle w:val="001000000000"/>
            <w:tcW w:w="3874" w:type="dxa"/>
          </w:tcPr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ostvariti planiranu </w:t>
            </w:r>
            <w:r w:rsidR="00B9041D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trodnevnu/četverodnevnu </w:t>
            </w: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ekskurziju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 učenicima razredni domjenak – zadnji sat za pamćenje</w:t>
            </w:r>
          </w:p>
        </w:tc>
        <w:tc>
          <w:tcPr>
            <w:tcW w:w="3918" w:type="dxa"/>
            <w:shd w:val="clear" w:color="auto" w:fill="FFFFFF" w:themeFill="background1"/>
          </w:tcPr>
          <w:p w:rsidR="00797FAF" w:rsidRPr="00B9041D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1. Analiza učenja i ponašanja, prijedlog vladanja</w:t>
            </w:r>
          </w:p>
          <w:p w:rsidR="00302CFA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2. Razredni domjenak</w:t>
            </w:r>
          </w:p>
          <w:p w:rsidR="00B9041D" w:rsidRPr="00302CFA" w:rsidRDefault="00B9041D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sv-SE"/>
              </w:rPr>
              <w:t>3. Sedmi razred pamtit ću po...</w:t>
            </w:r>
          </w:p>
        </w:tc>
        <w:tc>
          <w:tcPr>
            <w:tcW w:w="7422" w:type="dxa"/>
            <w:shd w:val="clear" w:color="auto" w:fill="FFFFFF" w:themeFill="background1"/>
          </w:tcPr>
          <w:p w:rsidR="00607AD5" w:rsidRPr="00B9041D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B9041D">
              <w:rPr>
                <w:rFonts w:ascii="Calibri" w:hAnsi="Calibri" w:cs="Calibri"/>
                <w:b/>
                <w:color w:val="0070C0"/>
                <w:sz w:val="20"/>
              </w:rPr>
              <w:t>Učiti kako učiti</w:t>
            </w:r>
          </w:p>
          <w:p w:rsidR="00607AD5" w:rsidRPr="00D27D6F" w:rsidRDefault="002E4191" w:rsidP="00D27D6F">
            <w:pPr>
              <w:pStyle w:val="t-8"/>
              <w:numPr>
                <w:ilvl w:val="0"/>
                <w:numId w:val="2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proofErr w:type="spellStart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</w:t>
            </w:r>
            <w:proofErr w:type="spellEnd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 xml:space="preserve"> 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u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z povremenu podršku učenik samostalno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određuje ciljeve učenja, odabire strategije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učenja i planira učenje</w:t>
            </w:r>
            <w:r w:rsidR="00D27D6F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–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poznaje različite pristupe i strategije učenja i rješavanja zadataka i zna kako se njima koristiti u pojedinim situacijama učenja</w:t>
            </w:r>
            <w:r w:rsid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,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odabire pristup koji je prikladan s obzirom na zahtjeve zadatka i situaciju učenja</w:t>
            </w:r>
          </w:p>
          <w:p w:rsidR="00607AD5" w:rsidRPr="00607AD5" w:rsidRDefault="00D27D6F" w:rsidP="00607AD5">
            <w:pPr>
              <w:pStyle w:val="ListParagraph"/>
              <w:numPr>
                <w:ilvl w:val="0"/>
                <w:numId w:val="26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uku</w:t>
            </w:r>
            <w:proofErr w:type="spellEnd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B.4/5.2.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prati učinkovitost učenja i svoje napredovanje tijekom učenja</w:t>
            </w:r>
          </w:p>
          <w:p w:rsidR="00607AD5" w:rsidRPr="00B9041D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B9041D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607AD5" w:rsidRPr="005211CD" w:rsidRDefault="00D27D6F" w:rsidP="00607AD5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azvija komunikacijske kompetencije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i uvažavajuće odnose s drugima –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</w:p>
          <w:p w:rsidR="00797FAF" w:rsidRDefault="00D27D6F" w:rsidP="00D27D6F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a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ktivno sudjeluje i pridonosi školi i lokalnoj zajednici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607AD5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sudjeluje u timskim aktivnostima</w:t>
            </w:r>
          </w:p>
          <w:p w:rsidR="00D27D6F" w:rsidRPr="00D27D6F" w:rsidRDefault="00D27D6F" w:rsidP="00D27D6F">
            <w:pPr>
              <w:pStyle w:val="ListParagraph"/>
              <w:shd w:val="clear" w:color="auto" w:fill="FFFFFF"/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</w:p>
        </w:tc>
      </w:tr>
      <w:tr w:rsidR="00CD18C6" w:rsidRPr="00302CFA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CD18C6" w:rsidRPr="00302CFA" w:rsidRDefault="00797FAF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797FAF" w:rsidP="00AF743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• 4. lipnja - Međunarodni dan nevine djece - žrtava agresije • 5. lipnja - Svjetski dan okoliša • 8. lipnja - Svjetski dan oceana • 12. lipnja - Svjetski dan borbe protiv dječjeg rada • 14. lipnja - Svjetski dan darivatelja krvi • 17. lipnja - Svjetski dan borbe protiv stvaranja pustinja i suše • 20. lipnja - Svjetski dan izbjeglica • 23. lipnja - Dan javne službe Ujedinjenih naroda </w:t>
            </w:r>
          </w:p>
        </w:tc>
      </w:tr>
    </w:tbl>
    <w:p w:rsidR="00AF7434" w:rsidRDefault="00AF7434"/>
    <w:sectPr w:rsidR="00AF7434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A77"/>
    <w:multiLevelType w:val="hybridMultilevel"/>
    <w:tmpl w:val="A96AC4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36437"/>
    <w:multiLevelType w:val="hybridMultilevel"/>
    <w:tmpl w:val="C6B6C9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5A5F02"/>
    <w:multiLevelType w:val="hybridMultilevel"/>
    <w:tmpl w:val="4C3E6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A6C42"/>
    <w:multiLevelType w:val="hybridMultilevel"/>
    <w:tmpl w:val="DA7ED26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F3030"/>
    <w:multiLevelType w:val="hybridMultilevel"/>
    <w:tmpl w:val="BA084DDC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19F470A"/>
    <w:multiLevelType w:val="hybridMultilevel"/>
    <w:tmpl w:val="46AA6082"/>
    <w:lvl w:ilvl="0" w:tplc="FF725A5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A82651"/>
    <w:multiLevelType w:val="hybridMultilevel"/>
    <w:tmpl w:val="61D6C34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435C3"/>
    <w:multiLevelType w:val="hybridMultilevel"/>
    <w:tmpl w:val="8CB4661A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18C74367"/>
    <w:multiLevelType w:val="hybridMultilevel"/>
    <w:tmpl w:val="2CFAC3E8"/>
    <w:lvl w:ilvl="0" w:tplc="A4F612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C965A46"/>
    <w:multiLevelType w:val="hybridMultilevel"/>
    <w:tmpl w:val="EAE4C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06194"/>
    <w:multiLevelType w:val="hybridMultilevel"/>
    <w:tmpl w:val="75BAFDD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3D1DF0"/>
    <w:multiLevelType w:val="hybridMultilevel"/>
    <w:tmpl w:val="4878873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1F873DB4"/>
    <w:multiLevelType w:val="hybridMultilevel"/>
    <w:tmpl w:val="23AE4122"/>
    <w:lvl w:ilvl="0" w:tplc="729A0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2D0201"/>
    <w:multiLevelType w:val="hybridMultilevel"/>
    <w:tmpl w:val="1B06F89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823031"/>
    <w:multiLevelType w:val="hybridMultilevel"/>
    <w:tmpl w:val="10C4801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12F9E"/>
    <w:multiLevelType w:val="hybridMultilevel"/>
    <w:tmpl w:val="F3A6CB7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D7128F"/>
    <w:multiLevelType w:val="hybridMultilevel"/>
    <w:tmpl w:val="6EB212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34658"/>
    <w:multiLevelType w:val="hybridMultilevel"/>
    <w:tmpl w:val="5A20D93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CEC64C">
      <w:start w:val="3"/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  <w:i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41AD5"/>
    <w:multiLevelType w:val="hybridMultilevel"/>
    <w:tmpl w:val="23F61A5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>
    <w:nsid w:val="42AB6ADB"/>
    <w:multiLevelType w:val="hybridMultilevel"/>
    <w:tmpl w:val="5C988788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>
    <w:nsid w:val="43FD7BF0"/>
    <w:multiLevelType w:val="hybridMultilevel"/>
    <w:tmpl w:val="17928FC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A24150"/>
    <w:multiLevelType w:val="hybridMultilevel"/>
    <w:tmpl w:val="B3F68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C134F"/>
    <w:multiLevelType w:val="hybridMultilevel"/>
    <w:tmpl w:val="E7821B8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534A2"/>
    <w:multiLevelType w:val="hybridMultilevel"/>
    <w:tmpl w:val="B74A39D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D3825"/>
    <w:multiLevelType w:val="hybridMultilevel"/>
    <w:tmpl w:val="4B62407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A949AF"/>
    <w:multiLevelType w:val="hybridMultilevel"/>
    <w:tmpl w:val="2A60FE7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51DDE"/>
    <w:multiLevelType w:val="hybridMultilevel"/>
    <w:tmpl w:val="EB084EE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618BB"/>
    <w:multiLevelType w:val="hybridMultilevel"/>
    <w:tmpl w:val="05C47D0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67DA9"/>
    <w:multiLevelType w:val="hybridMultilevel"/>
    <w:tmpl w:val="01FA3EB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F34D1"/>
    <w:multiLevelType w:val="hybridMultilevel"/>
    <w:tmpl w:val="008EA44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C2018F"/>
    <w:multiLevelType w:val="hybridMultilevel"/>
    <w:tmpl w:val="026E880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>
    <w:nsid w:val="5A71782E"/>
    <w:multiLevelType w:val="hybridMultilevel"/>
    <w:tmpl w:val="B2BA192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8D23AF"/>
    <w:multiLevelType w:val="hybridMultilevel"/>
    <w:tmpl w:val="433EFB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D5CDC"/>
    <w:multiLevelType w:val="hybridMultilevel"/>
    <w:tmpl w:val="3CF4E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C4B31"/>
    <w:multiLevelType w:val="hybridMultilevel"/>
    <w:tmpl w:val="C9289C7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CD7328A"/>
    <w:multiLevelType w:val="hybridMultilevel"/>
    <w:tmpl w:val="2924C6C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63C41"/>
    <w:multiLevelType w:val="hybridMultilevel"/>
    <w:tmpl w:val="B3D47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D42E2"/>
    <w:multiLevelType w:val="hybridMultilevel"/>
    <w:tmpl w:val="2A5C53C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71308"/>
    <w:multiLevelType w:val="hybridMultilevel"/>
    <w:tmpl w:val="7648076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D4AED"/>
    <w:multiLevelType w:val="hybridMultilevel"/>
    <w:tmpl w:val="57A2598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17"/>
  </w:num>
  <w:num w:numId="7">
    <w:abstractNumId w:val="37"/>
  </w:num>
  <w:num w:numId="8">
    <w:abstractNumId w:val="18"/>
  </w:num>
  <w:num w:numId="9">
    <w:abstractNumId w:val="20"/>
  </w:num>
  <w:num w:numId="10">
    <w:abstractNumId w:val="27"/>
  </w:num>
  <w:num w:numId="11">
    <w:abstractNumId w:val="35"/>
  </w:num>
  <w:num w:numId="12">
    <w:abstractNumId w:val="19"/>
  </w:num>
  <w:num w:numId="13">
    <w:abstractNumId w:val="23"/>
  </w:num>
  <w:num w:numId="14">
    <w:abstractNumId w:val="13"/>
  </w:num>
  <w:num w:numId="15">
    <w:abstractNumId w:val="0"/>
  </w:num>
  <w:num w:numId="16">
    <w:abstractNumId w:val="15"/>
  </w:num>
  <w:num w:numId="17">
    <w:abstractNumId w:val="16"/>
  </w:num>
  <w:num w:numId="18">
    <w:abstractNumId w:val="10"/>
  </w:num>
  <w:num w:numId="19">
    <w:abstractNumId w:val="25"/>
  </w:num>
  <w:num w:numId="20">
    <w:abstractNumId w:val="22"/>
  </w:num>
  <w:num w:numId="21">
    <w:abstractNumId w:val="24"/>
  </w:num>
  <w:num w:numId="22">
    <w:abstractNumId w:val="38"/>
  </w:num>
  <w:num w:numId="23">
    <w:abstractNumId w:val="6"/>
  </w:num>
  <w:num w:numId="24">
    <w:abstractNumId w:val="28"/>
  </w:num>
  <w:num w:numId="25">
    <w:abstractNumId w:val="14"/>
  </w:num>
  <w:num w:numId="26">
    <w:abstractNumId w:val="32"/>
  </w:num>
  <w:num w:numId="27">
    <w:abstractNumId w:val="8"/>
  </w:num>
  <w:num w:numId="28">
    <w:abstractNumId w:val="33"/>
  </w:num>
  <w:num w:numId="29">
    <w:abstractNumId w:val="21"/>
  </w:num>
  <w:num w:numId="30">
    <w:abstractNumId w:val="5"/>
  </w:num>
  <w:num w:numId="31">
    <w:abstractNumId w:val="36"/>
  </w:num>
  <w:num w:numId="32">
    <w:abstractNumId w:val="34"/>
  </w:num>
  <w:num w:numId="33">
    <w:abstractNumId w:val="1"/>
  </w:num>
  <w:num w:numId="34">
    <w:abstractNumId w:val="39"/>
  </w:num>
  <w:num w:numId="35">
    <w:abstractNumId w:val="11"/>
  </w:num>
  <w:num w:numId="36">
    <w:abstractNumId w:val="3"/>
  </w:num>
  <w:num w:numId="37">
    <w:abstractNumId w:val="29"/>
  </w:num>
  <w:num w:numId="38">
    <w:abstractNumId w:val="31"/>
  </w:num>
  <w:num w:numId="39">
    <w:abstractNumId w:val="26"/>
  </w:num>
  <w:num w:numId="40">
    <w:abstractNumId w:val="3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22A8F"/>
    <w:rsid w:val="000061D1"/>
    <w:rsid w:val="00014D64"/>
    <w:rsid w:val="00051CA6"/>
    <w:rsid w:val="00063282"/>
    <w:rsid w:val="00072A5C"/>
    <w:rsid w:val="000905D3"/>
    <w:rsid w:val="00096100"/>
    <w:rsid w:val="000A42EE"/>
    <w:rsid w:val="000E059F"/>
    <w:rsid w:val="000E6664"/>
    <w:rsid w:val="000F1AC7"/>
    <w:rsid w:val="00101232"/>
    <w:rsid w:val="0011243C"/>
    <w:rsid w:val="00132E2F"/>
    <w:rsid w:val="00170590"/>
    <w:rsid w:val="001A04D1"/>
    <w:rsid w:val="001A6E6E"/>
    <w:rsid w:val="001B3291"/>
    <w:rsid w:val="001B5954"/>
    <w:rsid w:val="001B73A3"/>
    <w:rsid w:val="001C47AA"/>
    <w:rsid w:val="001F2B47"/>
    <w:rsid w:val="001F676D"/>
    <w:rsid w:val="00220CA6"/>
    <w:rsid w:val="00246CFB"/>
    <w:rsid w:val="00251DB2"/>
    <w:rsid w:val="00264790"/>
    <w:rsid w:val="00286883"/>
    <w:rsid w:val="0029697B"/>
    <w:rsid w:val="002A4AC7"/>
    <w:rsid w:val="002C4F96"/>
    <w:rsid w:val="002C78DA"/>
    <w:rsid w:val="002E4191"/>
    <w:rsid w:val="00302CFA"/>
    <w:rsid w:val="003106F6"/>
    <w:rsid w:val="003A2A28"/>
    <w:rsid w:val="003B4864"/>
    <w:rsid w:val="003D6883"/>
    <w:rsid w:val="0043028C"/>
    <w:rsid w:val="004478C8"/>
    <w:rsid w:val="004478D2"/>
    <w:rsid w:val="00471DA4"/>
    <w:rsid w:val="004729A7"/>
    <w:rsid w:val="004A3F10"/>
    <w:rsid w:val="004C3546"/>
    <w:rsid w:val="004C3878"/>
    <w:rsid w:val="004D2AF9"/>
    <w:rsid w:val="004E2AD2"/>
    <w:rsid w:val="0051451B"/>
    <w:rsid w:val="005211CD"/>
    <w:rsid w:val="0054757F"/>
    <w:rsid w:val="005533DF"/>
    <w:rsid w:val="00566B88"/>
    <w:rsid w:val="005757BE"/>
    <w:rsid w:val="00583D00"/>
    <w:rsid w:val="00595FF8"/>
    <w:rsid w:val="005A240A"/>
    <w:rsid w:val="005B7772"/>
    <w:rsid w:val="005E4BC1"/>
    <w:rsid w:val="00607AD5"/>
    <w:rsid w:val="00617AEF"/>
    <w:rsid w:val="006412B6"/>
    <w:rsid w:val="00643C88"/>
    <w:rsid w:val="00651701"/>
    <w:rsid w:val="00655833"/>
    <w:rsid w:val="006738D3"/>
    <w:rsid w:val="00691FB7"/>
    <w:rsid w:val="006A6A00"/>
    <w:rsid w:val="006B1555"/>
    <w:rsid w:val="006E0D3D"/>
    <w:rsid w:val="006E5CDB"/>
    <w:rsid w:val="006F747B"/>
    <w:rsid w:val="00713517"/>
    <w:rsid w:val="00725173"/>
    <w:rsid w:val="007413D9"/>
    <w:rsid w:val="00752AC2"/>
    <w:rsid w:val="00752E58"/>
    <w:rsid w:val="007575AC"/>
    <w:rsid w:val="0076484C"/>
    <w:rsid w:val="00797FAF"/>
    <w:rsid w:val="007C252B"/>
    <w:rsid w:val="008066BD"/>
    <w:rsid w:val="00810B09"/>
    <w:rsid w:val="008131CA"/>
    <w:rsid w:val="008352AA"/>
    <w:rsid w:val="00843D74"/>
    <w:rsid w:val="00846C83"/>
    <w:rsid w:val="00847147"/>
    <w:rsid w:val="00852165"/>
    <w:rsid w:val="0086253C"/>
    <w:rsid w:val="0089003F"/>
    <w:rsid w:val="008A419D"/>
    <w:rsid w:val="008C5C2E"/>
    <w:rsid w:val="008C5EFD"/>
    <w:rsid w:val="008E31C2"/>
    <w:rsid w:val="0091417B"/>
    <w:rsid w:val="00923034"/>
    <w:rsid w:val="00926DE5"/>
    <w:rsid w:val="0092759C"/>
    <w:rsid w:val="009505C2"/>
    <w:rsid w:val="00953581"/>
    <w:rsid w:val="00973D21"/>
    <w:rsid w:val="00991DF6"/>
    <w:rsid w:val="009A5F37"/>
    <w:rsid w:val="009B76B1"/>
    <w:rsid w:val="009D1287"/>
    <w:rsid w:val="009E5C7C"/>
    <w:rsid w:val="00A12B1B"/>
    <w:rsid w:val="00A13A23"/>
    <w:rsid w:val="00A55D67"/>
    <w:rsid w:val="00A64D0E"/>
    <w:rsid w:val="00A9463A"/>
    <w:rsid w:val="00AA079C"/>
    <w:rsid w:val="00AE49C5"/>
    <w:rsid w:val="00AE6A0E"/>
    <w:rsid w:val="00AF145E"/>
    <w:rsid w:val="00AF1521"/>
    <w:rsid w:val="00AF7434"/>
    <w:rsid w:val="00B11FDD"/>
    <w:rsid w:val="00B57724"/>
    <w:rsid w:val="00B67C90"/>
    <w:rsid w:val="00B71647"/>
    <w:rsid w:val="00B9041D"/>
    <w:rsid w:val="00B94882"/>
    <w:rsid w:val="00BC6933"/>
    <w:rsid w:val="00BC6BEC"/>
    <w:rsid w:val="00BF5634"/>
    <w:rsid w:val="00BF7953"/>
    <w:rsid w:val="00C256B2"/>
    <w:rsid w:val="00C27C68"/>
    <w:rsid w:val="00C47D6D"/>
    <w:rsid w:val="00C77685"/>
    <w:rsid w:val="00C9720A"/>
    <w:rsid w:val="00CA5AF1"/>
    <w:rsid w:val="00CB15CD"/>
    <w:rsid w:val="00CD18C6"/>
    <w:rsid w:val="00CE4C69"/>
    <w:rsid w:val="00CE5E0B"/>
    <w:rsid w:val="00D030B9"/>
    <w:rsid w:val="00D22A8F"/>
    <w:rsid w:val="00D27403"/>
    <w:rsid w:val="00D27D6F"/>
    <w:rsid w:val="00D40000"/>
    <w:rsid w:val="00D413F4"/>
    <w:rsid w:val="00D552D1"/>
    <w:rsid w:val="00D67C14"/>
    <w:rsid w:val="00D7340A"/>
    <w:rsid w:val="00D7360E"/>
    <w:rsid w:val="00D84677"/>
    <w:rsid w:val="00D95E82"/>
    <w:rsid w:val="00DA6F9B"/>
    <w:rsid w:val="00DB1308"/>
    <w:rsid w:val="00DD2851"/>
    <w:rsid w:val="00DD59CB"/>
    <w:rsid w:val="00DF6807"/>
    <w:rsid w:val="00E15C28"/>
    <w:rsid w:val="00E21207"/>
    <w:rsid w:val="00E229A8"/>
    <w:rsid w:val="00E30900"/>
    <w:rsid w:val="00E553BF"/>
    <w:rsid w:val="00E5680B"/>
    <w:rsid w:val="00E6589D"/>
    <w:rsid w:val="00E77911"/>
    <w:rsid w:val="00E77A22"/>
    <w:rsid w:val="00EA7175"/>
    <w:rsid w:val="00EA7FEC"/>
    <w:rsid w:val="00EB52B8"/>
    <w:rsid w:val="00ED355C"/>
    <w:rsid w:val="00ED54B5"/>
    <w:rsid w:val="00EE004F"/>
    <w:rsid w:val="00EF0C4E"/>
    <w:rsid w:val="00EF4D35"/>
    <w:rsid w:val="00F04AA0"/>
    <w:rsid w:val="00F22C55"/>
    <w:rsid w:val="00F27FEF"/>
    <w:rsid w:val="00F32345"/>
    <w:rsid w:val="00F4135E"/>
    <w:rsid w:val="00F56F33"/>
    <w:rsid w:val="00F75D79"/>
    <w:rsid w:val="00F7779A"/>
    <w:rsid w:val="00F901CA"/>
    <w:rsid w:val="00F96D46"/>
    <w:rsid w:val="00F96EB1"/>
    <w:rsid w:val="00FA06B9"/>
    <w:rsid w:val="00FA3111"/>
    <w:rsid w:val="00FB5D08"/>
    <w:rsid w:val="00FE498E"/>
    <w:rsid w:val="00FF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E49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B1308"/>
    <w:pPr>
      <w:spacing w:before="100" w:beforeAutospacing="1" w:after="100" w:afterAutospacing="1"/>
    </w:pPr>
  </w:style>
  <w:style w:type="table" w:customStyle="1" w:styleId="ListTable6ColorfulAccent5">
    <w:name w:val="List Table 6 Colorful Accent 5"/>
    <w:basedOn w:val="TableNormal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Ind w:w="0" w:type="dxa"/>
      <w:tblBorders>
        <w:top w:val="single" w:sz="4" w:space="0" w:color="CC9900" w:themeColor="accent5"/>
        <w:bottom w:val="single" w:sz="4" w:space="0" w:color="CC99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TableWeb1"/>
    <w:uiPriority w:val="99"/>
    <w:rsid w:val="00CB15C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5DarkAccent2">
    <w:name w:val="Grid Table 5 Dark Accent 2"/>
    <w:basedOn w:val="TableNormal"/>
    <w:uiPriority w:val="50"/>
    <w:rsid w:val="00CB1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TableWeb1">
    <w:name w:val="Table Web 1"/>
    <w:basedOn w:val="TableNormal"/>
    <w:uiPriority w:val="99"/>
    <w:semiHidden/>
    <w:unhideWhenUsed/>
    <w:rsid w:val="00CB15C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CB1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customStyle="1" w:styleId="ListTable2Accent5">
    <w:name w:val="List Table 2 Accent 5"/>
    <w:basedOn w:val="TableNormal"/>
    <w:uiPriority w:val="47"/>
    <w:rsid w:val="00810B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NoSpacing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92759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552D1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552D1"/>
    <w:rPr>
      <w:i/>
      <w:iCs/>
      <w:color w:val="404040" w:themeColor="text1" w:themeTint="BF"/>
    </w:rPr>
  </w:style>
  <w:style w:type="paragraph" w:styleId="BodyText2">
    <w:name w:val="Body Text 2"/>
    <w:basedOn w:val="Normal"/>
    <w:link w:val="BodyText2Char"/>
    <w:rsid w:val="00846C83"/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846C83"/>
    <w:rPr>
      <w:rFonts w:ascii="Arial" w:eastAsia="Times New Roman" w:hAnsi="Arial" w:cs="Arial"/>
      <w:sz w:val="24"/>
      <w:szCs w:val="24"/>
      <w:lang w:eastAsia="hr-HR"/>
    </w:rPr>
  </w:style>
  <w:style w:type="paragraph" w:customStyle="1" w:styleId="paragraph">
    <w:name w:val="paragraph"/>
    <w:basedOn w:val="Normal"/>
    <w:rsid w:val="00BF563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2C4F96"/>
    <w:rPr>
      <w:rFonts w:asciiTheme="majorHAnsi" w:eastAsiaTheme="majorEastAsia" w:hAnsiTheme="majorHAnsi" w:cstheme="majorBidi"/>
      <w:color w:val="B43412" w:themeColor="accent1" w:themeShade="BF"/>
      <w:sz w:val="32"/>
      <w:szCs w:val="32"/>
      <w:lang w:eastAsia="hr-HR"/>
    </w:rPr>
  </w:style>
  <w:style w:type="paragraph" w:customStyle="1" w:styleId="Default">
    <w:name w:val="Default"/>
    <w:rsid w:val="008E3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1755-4B05-48C2-A150-B21397CB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11</Pages>
  <Words>2717</Words>
  <Characters>15493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gbukan</cp:lastModifiedBy>
  <cp:revision>7</cp:revision>
  <cp:lastPrinted>2019-09-05T07:27:00Z</cp:lastPrinted>
  <dcterms:created xsi:type="dcterms:W3CDTF">2019-09-05T15:13:00Z</dcterms:created>
  <dcterms:modified xsi:type="dcterms:W3CDTF">2019-09-06T11:37:00Z</dcterms:modified>
</cp:coreProperties>
</file>